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7C8" w:rsidRPr="00F037C8" w:rsidRDefault="00F037C8" w:rsidP="00F037C8">
      <w:pPr>
        <w:spacing w:line="360" w:lineRule="auto"/>
        <w:rPr>
          <w:rFonts w:ascii="Times New Roman" w:hAnsi="Times New Roman"/>
          <w:b/>
          <w:bCs/>
        </w:rPr>
      </w:pPr>
      <w:r w:rsidRPr="00F037C8">
        <w:rPr>
          <w:rFonts w:ascii="Times New Roman" w:hAnsi="Times New Roman"/>
          <w:b/>
          <w:bCs/>
          <w:noProof/>
        </w:rPr>
        <w:drawing>
          <wp:inline distT="0" distB="0" distL="0" distR="0">
            <wp:extent cx="3325095" cy="568036"/>
            <wp:effectExtent l="19050" t="0" r="8655" b="0"/>
            <wp:docPr id="3" name="图片 2" descr="C:\Documents and Settings\bian\桌面\银建期货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C:\Documents and Settings\bian\桌面\银建期货logo.png"/>
                    <pic:cNvPicPr>
                      <a:picLocks noChangeAspect="1" noChangeArrowheads="1"/>
                    </pic:cNvPicPr>
                  </pic:nvPicPr>
                  <pic:blipFill>
                    <a:blip r:embed="rId8" cstate="print"/>
                    <a:stretch>
                      <a:fillRect/>
                    </a:stretch>
                  </pic:blipFill>
                  <pic:spPr bwMode="auto">
                    <a:xfrm>
                      <a:off x="0" y="0"/>
                      <a:ext cx="3285793" cy="561322"/>
                    </a:xfrm>
                    <a:prstGeom prst="rect">
                      <a:avLst/>
                    </a:prstGeom>
                    <a:noFill/>
                    <a:ln w="9525">
                      <a:noFill/>
                      <a:miter lim="800000"/>
                      <a:headEnd/>
                      <a:tailEnd/>
                    </a:ln>
                  </pic:spPr>
                </pic:pic>
              </a:graphicData>
            </a:graphic>
          </wp:inline>
        </w:drawing>
      </w:r>
    </w:p>
    <w:p w:rsidR="003B4E9C" w:rsidRDefault="003B4E9C" w:rsidP="00F41FA9">
      <w:pPr>
        <w:spacing w:line="360" w:lineRule="auto"/>
        <w:rPr>
          <w:rFonts w:ascii="Times New Roman" w:hAnsi="Times New Roman"/>
        </w:rPr>
      </w:pPr>
    </w:p>
    <w:p w:rsidR="003B4E9C" w:rsidRDefault="003B4E9C" w:rsidP="00F41FA9">
      <w:pPr>
        <w:spacing w:line="360" w:lineRule="auto"/>
        <w:rPr>
          <w:rFonts w:ascii="Times New Roman" w:hAnsi="Times New Roman"/>
        </w:rPr>
      </w:pPr>
    </w:p>
    <w:p w:rsidR="00F037C8" w:rsidRDefault="00F037C8">
      <w:pPr>
        <w:widowControl/>
        <w:jc w:val="left"/>
        <w:rPr>
          <w:rFonts w:ascii="Times New Roman" w:hAnsi="Times New Roman"/>
        </w:rPr>
      </w:pPr>
    </w:p>
    <w:p w:rsidR="00F037C8" w:rsidRDefault="00F037C8">
      <w:pPr>
        <w:widowControl/>
        <w:jc w:val="left"/>
        <w:rPr>
          <w:rFonts w:ascii="Times New Roman" w:hAnsi="Times New Roman"/>
        </w:rPr>
      </w:pPr>
    </w:p>
    <w:p w:rsidR="00F037C8" w:rsidRDefault="00E23728">
      <w:pPr>
        <w:widowControl/>
        <w:jc w:val="left"/>
        <w:rPr>
          <w:rFonts w:ascii="Times New Roman" w:hAnsi="Times New Roman"/>
        </w:rPr>
      </w:pPr>
      <w:r>
        <w:rPr>
          <w:rFonts w:ascii="Times New Roman" w:hAnsi="Times New Roman"/>
          <w:noProof/>
        </w:rPr>
        <w:pict>
          <v:rect id="_x0000_s1074" style="position:absolute;margin-left:8.95pt;margin-top:.7pt;width:416.15pt;height:203.75pt;z-index:251658752" filled="f" stroked="f">
            <v:textbox style="mso-next-textbox:#_x0000_s1074">
              <w:txbxContent>
                <w:p w:rsidR="00717509" w:rsidRDefault="00E75636" w:rsidP="00717509">
                  <w:pPr>
                    <w:pStyle w:val="ab"/>
                    <w:spacing w:before="312"/>
                    <w:ind w:left="210"/>
                    <w:rPr>
                      <w:sz w:val="84"/>
                      <w:szCs w:val="84"/>
                    </w:rPr>
                  </w:pPr>
                  <w:bookmarkStart w:id="0" w:name="_Toc303336578"/>
                  <w:bookmarkStart w:id="1" w:name="_Toc303336657"/>
                  <w:bookmarkStart w:id="2" w:name="_Toc303338553"/>
                  <w:bookmarkStart w:id="3" w:name="_Toc303843007"/>
                  <w:bookmarkStart w:id="4" w:name="_Toc21971387"/>
                  <w:r>
                    <w:rPr>
                      <w:rFonts w:hint="eastAsia"/>
                      <w:sz w:val="84"/>
                      <w:szCs w:val="84"/>
                    </w:rPr>
                    <w:t>白银</w:t>
                  </w:r>
                  <w:r w:rsidR="007D227F">
                    <w:rPr>
                      <w:rFonts w:hint="eastAsia"/>
                      <w:sz w:val="84"/>
                      <w:szCs w:val="84"/>
                    </w:rPr>
                    <w:t>5</w:t>
                  </w:r>
                  <w:r w:rsidR="00210CB8">
                    <w:rPr>
                      <w:rFonts w:hint="eastAsia"/>
                      <w:sz w:val="84"/>
                      <w:szCs w:val="84"/>
                    </w:rPr>
                    <w:t>月报</w:t>
                  </w:r>
                  <w:bookmarkEnd w:id="0"/>
                  <w:bookmarkEnd w:id="1"/>
                  <w:bookmarkEnd w:id="2"/>
                  <w:bookmarkEnd w:id="3"/>
                  <w:bookmarkEnd w:id="4"/>
                </w:p>
                <w:p w:rsidR="00F037C8" w:rsidRDefault="00F037C8" w:rsidP="00F037C8">
                  <w:pPr>
                    <w:pStyle w:val="ab"/>
                    <w:spacing w:before="312"/>
                    <w:ind w:left="210"/>
                    <w:rPr>
                      <w:sz w:val="84"/>
                      <w:szCs w:val="84"/>
                    </w:rPr>
                  </w:pPr>
                </w:p>
                <w:p w:rsidR="00F037C8" w:rsidRPr="009D7C38" w:rsidRDefault="00F037C8" w:rsidP="00F037C8">
                  <w:pPr>
                    <w:spacing w:before="240"/>
                    <w:ind w:left="240" w:firstLine="480"/>
                  </w:pPr>
                </w:p>
              </w:txbxContent>
            </v:textbox>
          </v:rect>
        </w:pict>
      </w:r>
    </w:p>
    <w:p w:rsidR="00F037C8" w:rsidRDefault="00F037C8">
      <w:pPr>
        <w:widowControl/>
        <w:jc w:val="left"/>
        <w:rPr>
          <w:rFonts w:ascii="Times New Roman" w:hAnsi="Times New Roman"/>
        </w:rPr>
      </w:pPr>
    </w:p>
    <w:p w:rsidR="00F037C8" w:rsidRDefault="00F037C8">
      <w:pPr>
        <w:widowControl/>
        <w:jc w:val="left"/>
        <w:rPr>
          <w:rFonts w:ascii="Times New Roman" w:hAnsi="Times New Roman"/>
        </w:rPr>
      </w:pPr>
    </w:p>
    <w:p w:rsidR="00F037C8" w:rsidRDefault="00F037C8">
      <w:pPr>
        <w:widowControl/>
        <w:jc w:val="left"/>
        <w:rPr>
          <w:rFonts w:ascii="Times New Roman" w:hAnsi="Times New Roman"/>
        </w:rPr>
      </w:pPr>
    </w:p>
    <w:p w:rsidR="00F037C8" w:rsidRDefault="00F037C8">
      <w:pPr>
        <w:widowControl/>
        <w:jc w:val="left"/>
        <w:rPr>
          <w:rFonts w:ascii="Times New Roman" w:hAnsi="Times New Roman"/>
        </w:rPr>
      </w:pPr>
    </w:p>
    <w:p w:rsidR="00F037C8" w:rsidRDefault="00F037C8">
      <w:pPr>
        <w:widowControl/>
        <w:jc w:val="left"/>
        <w:rPr>
          <w:rFonts w:ascii="Times New Roman" w:hAnsi="Times New Roman"/>
        </w:rPr>
      </w:pPr>
    </w:p>
    <w:p w:rsidR="00F037C8" w:rsidRDefault="00F037C8">
      <w:pPr>
        <w:widowControl/>
        <w:jc w:val="left"/>
        <w:rPr>
          <w:rFonts w:ascii="Times New Roman" w:hAnsi="Times New Roman"/>
        </w:rPr>
      </w:pPr>
    </w:p>
    <w:p w:rsidR="00F037C8" w:rsidRDefault="00F037C8">
      <w:pPr>
        <w:widowControl/>
        <w:jc w:val="left"/>
        <w:rPr>
          <w:rFonts w:ascii="Times New Roman" w:hAnsi="Times New Roman"/>
        </w:rPr>
      </w:pPr>
    </w:p>
    <w:p w:rsidR="00F037C8" w:rsidRDefault="00F037C8">
      <w:pPr>
        <w:widowControl/>
        <w:jc w:val="left"/>
        <w:rPr>
          <w:rFonts w:ascii="Times New Roman" w:hAnsi="Times New Roman"/>
        </w:rPr>
      </w:pPr>
    </w:p>
    <w:p w:rsidR="00F037C8" w:rsidRDefault="00F037C8">
      <w:pPr>
        <w:widowControl/>
        <w:jc w:val="left"/>
        <w:rPr>
          <w:rFonts w:ascii="Times New Roman" w:hAnsi="Times New Roman"/>
        </w:rPr>
      </w:pPr>
    </w:p>
    <w:p w:rsidR="00F037C8" w:rsidRDefault="00F037C8">
      <w:pPr>
        <w:widowControl/>
        <w:jc w:val="left"/>
        <w:rPr>
          <w:rFonts w:ascii="Times New Roman" w:hAnsi="Times New Roman"/>
        </w:rPr>
      </w:pPr>
    </w:p>
    <w:p w:rsidR="00F037C8" w:rsidRDefault="00F037C8">
      <w:pPr>
        <w:widowControl/>
        <w:jc w:val="left"/>
        <w:rPr>
          <w:rFonts w:ascii="Times New Roman" w:hAnsi="Times New Roman"/>
        </w:rPr>
      </w:pPr>
    </w:p>
    <w:p w:rsidR="00F037C8" w:rsidRDefault="00F037C8">
      <w:pPr>
        <w:widowControl/>
        <w:jc w:val="left"/>
        <w:rPr>
          <w:rFonts w:ascii="Times New Roman" w:hAnsi="Times New Roman"/>
        </w:rPr>
      </w:pPr>
    </w:p>
    <w:p w:rsidR="00F037C8" w:rsidRDefault="00F037C8">
      <w:pPr>
        <w:widowControl/>
        <w:jc w:val="left"/>
        <w:rPr>
          <w:rFonts w:ascii="Times New Roman" w:hAnsi="Times New Roman"/>
        </w:rPr>
      </w:pPr>
    </w:p>
    <w:p w:rsidR="00F037C8" w:rsidRDefault="00F037C8">
      <w:pPr>
        <w:widowControl/>
        <w:jc w:val="left"/>
        <w:rPr>
          <w:rFonts w:ascii="Times New Roman" w:hAnsi="Times New Roman"/>
        </w:rPr>
      </w:pPr>
    </w:p>
    <w:p w:rsidR="00F037C8" w:rsidRDefault="00F037C8">
      <w:pPr>
        <w:widowControl/>
        <w:jc w:val="left"/>
        <w:rPr>
          <w:rFonts w:ascii="Times New Roman" w:hAnsi="Times New Roman"/>
        </w:rPr>
      </w:pPr>
    </w:p>
    <w:p w:rsidR="002D750A" w:rsidRDefault="00E23728">
      <w:pPr>
        <w:widowControl/>
        <w:jc w:val="left"/>
        <w:rPr>
          <w:rFonts w:ascii="Times New Roman" w:hAnsi="Times New Roman"/>
        </w:rPr>
        <w:sectPr w:rsidR="002D750A" w:rsidSect="00CA7FB9">
          <w:footerReference w:type="default" r:id="rId9"/>
          <w:pgSz w:w="11906" w:h="16838"/>
          <w:pgMar w:top="1440" w:right="1800" w:bottom="1440" w:left="1800" w:header="851" w:footer="992" w:gutter="0"/>
          <w:pgNumType w:start="1"/>
          <w:cols w:space="425"/>
          <w:docGrid w:type="lines" w:linePitch="312"/>
        </w:sectPr>
      </w:pPr>
      <w:r>
        <w:rPr>
          <w:rFonts w:ascii="Times New Roman" w:hAnsi="Times New Roman"/>
          <w:noProof/>
        </w:rPr>
        <w:pict>
          <v:rect id="_x0000_s1075" style="position:absolute;margin-left:-3.85pt;margin-top:109.45pt;width:370.85pt;height:88.75pt;z-index:251659776" filled="f" stroked="f">
            <v:textbox style="mso-next-textbox:#_x0000_s1075">
              <w:txbxContent>
                <w:p w:rsidR="00F037C8" w:rsidRPr="00616842" w:rsidRDefault="00F037C8" w:rsidP="00F037C8">
                  <w:pPr>
                    <w:spacing w:before="240" w:line="360" w:lineRule="auto"/>
                    <w:ind w:left="240" w:firstLine="723"/>
                    <w:jc w:val="center"/>
                    <w:rPr>
                      <w:rFonts w:ascii="宋体" w:hAnsi="宋体" w:cs="Arial"/>
                      <w:b/>
                      <w:sz w:val="36"/>
                      <w:szCs w:val="36"/>
                    </w:rPr>
                  </w:pPr>
                  <w:r>
                    <w:rPr>
                      <w:rFonts w:ascii="宋体" w:hAnsi="宋体" w:cs="Arial" w:hint="eastAsia"/>
                      <w:b/>
                      <w:sz w:val="36"/>
                      <w:szCs w:val="36"/>
                    </w:rPr>
                    <w:t>民生</w:t>
                  </w:r>
                  <w:r w:rsidRPr="00616842">
                    <w:rPr>
                      <w:rFonts w:ascii="宋体" w:hAnsi="宋体" w:cs="Arial" w:hint="eastAsia"/>
                      <w:b/>
                      <w:sz w:val="36"/>
                      <w:szCs w:val="36"/>
                    </w:rPr>
                    <w:t>期货有限公司</w:t>
                  </w:r>
                </w:p>
                <w:p w:rsidR="00F037C8" w:rsidRPr="00616842" w:rsidRDefault="00D770F4" w:rsidP="00F037C8">
                  <w:pPr>
                    <w:spacing w:before="240"/>
                    <w:ind w:left="240" w:firstLine="723"/>
                    <w:jc w:val="center"/>
                    <w:rPr>
                      <w:sz w:val="36"/>
                      <w:szCs w:val="36"/>
                    </w:rPr>
                  </w:pPr>
                  <w:r>
                    <w:rPr>
                      <w:rFonts w:ascii="宋体" w:hAnsi="宋体" w:cs="Arial" w:hint="eastAsia"/>
                      <w:b/>
                      <w:sz w:val="36"/>
                      <w:szCs w:val="36"/>
                    </w:rPr>
                    <w:t>2021</w:t>
                  </w:r>
                  <w:r w:rsidR="00F037C8" w:rsidRPr="00616842">
                    <w:rPr>
                      <w:rFonts w:ascii="宋体" w:hAnsi="宋体" w:cs="Arial" w:hint="eastAsia"/>
                      <w:b/>
                      <w:sz w:val="36"/>
                      <w:szCs w:val="36"/>
                    </w:rPr>
                    <w:t>年</w:t>
                  </w:r>
                  <w:r w:rsidR="007D227F">
                    <w:rPr>
                      <w:rFonts w:ascii="宋体" w:hAnsi="宋体" w:cs="Arial" w:hint="eastAsia"/>
                      <w:b/>
                      <w:sz w:val="36"/>
                      <w:szCs w:val="36"/>
                    </w:rPr>
                    <w:t>5</w:t>
                  </w:r>
                  <w:r w:rsidR="00F037C8" w:rsidRPr="00616842">
                    <w:rPr>
                      <w:rFonts w:ascii="宋体" w:hAnsi="宋体" w:cs="Arial" w:hint="eastAsia"/>
                      <w:b/>
                      <w:sz w:val="36"/>
                      <w:szCs w:val="36"/>
                    </w:rPr>
                    <w:t>月</w:t>
                  </w:r>
                  <w:r w:rsidR="008D07C0">
                    <w:rPr>
                      <w:rFonts w:ascii="宋体" w:hAnsi="宋体" w:cs="Arial" w:hint="eastAsia"/>
                      <w:b/>
                      <w:sz w:val="36"/>
                      <w:szCs w:val="36"/>
                    </w:rPr>
                    <w:t>3</w:t>
                  </w:r>
                  <w:r w:rsidR="00F037C8" w:rsidRPr="00616842">
                    <w:rPr>
                      <w:rFonts w:ascii="宋体" w:hAnsi="宋体" w:cs="Arial" w:hint="eastAsia"/>
                      <w:b/>
                      <w:sz w:val="36"/>
                      <w:szCs w:val="36"/>
                    </w:rPr>
                    <w:t>日</w:t>
                  </w:r>
                </w:p>
              </w:txbxContent>
            </v:textbox>
          </v:rect>
        </w:pict>
      </w:r>
      <w:r w:rsidR="002D750A">
        <w:rPr>
          <w:rFonts w:ascii="Times New Roman" w:hAnsi="Times New Roman"/>
        </w:rPr>
        <w:br w:type="page"/>
      </w:r>
    </w:p>
    <w:p w:rsidR="008F4F87" w:rsidRPr="007B1CA4" w:rsidRDefault="00B54137" w:rsidP="00DF6B1F">
      <w:pPr>
        <w:pStyle w:val="TOC"/>
        <w:numPr>
          <w:ilvl w:val="0"/>
          <w:numId w:val="0"/>
        </w:numPr>
        <w:spacing w:line="480" w:lineRule="auto"/>
        <w:jc w:val="center"/>
        <w:rPr>
          <w:color w:val="auto"/>
          <w:sz w:val="52"/>
          <w:szCs w:val="52"/>
          <w:lang w:val="zh-CN"/>
        </w:rPr>
      </w:pPr>
      <w:bookmarkStart w:id="5" w:name="_Toc273513023"/>
      <w:r w:rsidRPr="007B1CA4">
        <w:rPr>
          <w:color w:val="auto"/>
          <w:sz w:val="52"/>
          <w:szCs w:val="52"/>
          <w:lang w:val="zh-CN"/>
        </w:rPr>
        <w:lastRenderedPageBreak/>
        <w:t>目录</w:t>
      </w:r>
    </w:p>
    <w:p w:rsidR="00004FB8" w:rsidRPr="007B1CA4" w:rsidRDefault="00E23728">
      <w:pPr>
        <w:pStyle w:val="11"/>
        <w:tabs>
          <w:tab w:val="right" w:leader="dot" w:pos="8296"/>
        </w:tabs>
        <w:rPr>
          <w:rFonts w:asciiTheme="minorHAnsi" w:eastAsiaTheme="minorEastAsia" w:hAnsiTheme="minorHAnsi" w:cstheme="minorBidi"/>
          <w:noProof/>
          <w:kern w:val="2"/>
          <w:sz w:val="30"/>
          <w:szCs w:val="30"/>
        </w:rPr>
      </w:pPr>
      <w:r w:rsidRPr="00E23728">
        <w:rPr>
          <w:rFonts w:asciiTheme="minorEastAsia" w:eastAsiaTheme="minorEastAsia" w:hAnsiTheme="minorEastAsia" w:cs="Arial"/>
          <w:sz w:val="24"/>
          <w:szCs w:val="24"/>
        </w:rPr>
        <w:fldChar w:fldCharType="begin"/>
      </w:r>
      <w:r w:rsidR="008F4F87" w:rsidRPr="003B4E9C">
        <w:rPr>
          <w:rFonts w:asciiTheme="minorEastAsia" w:eastAsiaTheme="minorEastAsia" w:hAnsiTheme="minorEastAsia" w:cs="Arial"/>
          <w:sz w:val="24"/>
          <w:szCs w:val="24"/>
        </w:rPr>
        <w:instrText xml:space="preserve"> TOC \o "1-3" \h \z \u </w:instrText>
      </w:r>
      <w:r w:rsidRPr="00E23728">
        <w:rPr>
          <w:rFonts w:asciiTheme="minorEastAsia" w:eastAsiaTheme="minorEastAsia" w:hAnsiTheme="minorEastAsia" w:cs="Arial"/>
          <w:sz w:val="24"/>
          <w:szCs w:val="24"/>
        </w:rPr>
        <w:fldChar w:fldCharType="separate"/>
      </w:r>
    </w:p>
    <w:p w:rsidR="00004FB8" w:rsidRPr="007B1CA4" w:rsidRDefault="00E23728">
      <w:pPr>
        <w:pStyle w:val="11"/>
        <w:tabs>
          <w:tab w:val="left" w:pos="840"/>
          <w:tab w:val="right" w:leader="dot" w:pos="8296"/>
        </w:tabs>
        <w:rPr>
          <w:rFonts w:asciiTheme="minorHAnsi" w:eastAsiaTheme="minorEastAsia" w:hAnsiTheme="minorHAnsi" w:cstheme="minorBidi"/>
          <w:noProof/>
          <w:kern w:val="2"/>
          <w:sz w:val="30"/>
          <w:szCs w:val="30"/>
        </w:rPr>
      </w:pPr>
      <w:hyperlink w:anchor="_Toc21971388" w:history="1">
        <w:r w:rsidR="00004FB8" w:rsidRPr="007B1CA4">
          <w:rPr>
            <w:rStyle w:val="a8"/>
            <w:rFonts w:hint="eastAsia"/>
            <w:noProof/>
            <w:sz w:val="30"/>
            <w:szCs w:val="30"/>
          </w:rPr>
          <w:t>一、</w:t>
        </w:r>
        <w:r w:rsidR="00004FB8" w:rsidRPr="007B1CA4">
          <w:rPr>
            <w:rFonts w:asciiTheme="minorHAnsi" w:eastAsiaTheme="minorEastAsia" w:hAnsiTheme="minorHAnsi" w:cstheme="minorBidi"/>
            <w:noProof/>
            <w:kern w:val="2"/>
            <w:sz w:val="30"/>
            <w:szCs w:val="30"/>
          </w:rPr>
          <w:tab/>
        </w:r>
        <w:r w:rsidR="00004FB8" w:rsidRPr="007B1CA4">
          <w:rPr>
            <w:rStyle w:val="a8"/>
            <w:rFonts w:hint="eastAsia"/>
            <w:noProof/>
            <w:sz w:val="30"/>
            <w:szCs w:val="30"/>
          </w:rPr>
          <w:t>行情</w:t>
        </w:r>
        <w:r w:rsidR="004F73F7">
          <w:rPr>
            <w:rStyle w:val="a8"/>
            <w:rFonts w:hint="eastAsia"/>
            <w:noProof/>
            <w:sz w:val="30"/>
            <w:szCs w:val="30"/>
          </w:rPr>
          <w:t>分析</w:t>
        </w:r>
        <w:r w:rsidR="00004FB8" w:rsidRPr="007B1CA4">
          <w:rPr>
            <w:rStyle w:val="a8"/>
            <w:rFonts w:hint="eastAsia"/>
            <w:noProof/>
            <w:sz w:val="30"/>
            <w:szCs w:val="30"/>
          </w:rPr>
          <w:t>回顾</w:t>
        </w:r>
        <w:r w:rsidR="00004FB8" w:rsidRPr="007B1CA4">
          <w:rPr>
            <w:noProof/>
            <w:webHidden/>
            <w:sz w:val="30"/>
            <w:szCs w:val="30"/>
          </w:rPr>
          <w:tab/>
        </w:r>
        <w:r w:rsidRPr="007B1CA4">
          <w:rPr>
            <w:noProof/>
            <w:webHidden/>
            <w:sz w:val="30"/>
            <w:szCs w:val="30"/>
          </w:rPr>
          <w:fldChar w:fldCharType="begin"/>
        </w:r>
        <w:r w:rsidR="00004FB8" w:rsidRPr="007B1CA4">
          <w:rPr>
            <w:noProof/>
            <w:webHidden/>
            <w:sz w:val="30"/>
            <w:szCs w:val="30"/>
          </w:rPr>
          <w:instrText xml:space="preserve"> PAGEREF _Toc21971388 \h </w:instrText>
        </w:r>
        <w:r w:rsidRPr="007B1CA4">
          <w:rPr>
            <w:noProof/>
            <w:webHidden/>
            <w:sz w:val="30"/>
            <w:szCs w:val="30"/>
          </w:rPr>
        </w:r>
        <w:r w:rsidRPr="007B1CA4">
          <w:rPr>
            <w:noProof/>
            <w:webHidden/>
            <w:sz w:val="30"/>
            <w:szCs w:val="30"/>
          </w:rPr>
          <w:fldChar w:fldCharType="separate"/>
        </w:r>
        <w:r w:rsidR="006348D8">
          <w:rPr>
            <w:noProof/>
            <w:webHidden/>
            <w:sz w:val="30"/>
            <w:szCs w:val="30"/>
          </w:rPr>
          <w:t>1</w:t>
        </w:r>
        <w:r w:rsidRPr="007B1CA4">
          <w:rPr>
            <w:noProof/>
            <w:webHidden/>
            <w:sz w:val="30"/>
            <w:szCs w:val="30"/>
          </w:rPr>
          <w:fldChar w:fldCharType="end"/>
        </w:r>
      </w:hyperlink>
    </w:p>
    <w:p w:rsidR="00004FB8" w:rsidRPr="007B1CA4" w:rsidRDefault="00E23728">
      <w:pPr>
        <w:pStyle w:val="11"/>
        <w:tabs>
          <w:tab w:val="left" w:pos="840"/>
          <w:tab w:val="right" w:leader="dot" w:pos="8296"/>
        </w:tabs>
        <w:rPr>
          <w:rFonts w:asciiTheme="minorHAnsi" w:eastAsiaTheme="minorEastAsia" w:hAnsiTheme="minorHAnsi" w:cstheme="minorBidi"/>
          <w:noProof/>
          <w:kern w:val="2"/>
          <w:sz w:val="30"/>
          <w:szCs w:val="30"/>
        </w:rPr>
      </w:pPr>
      <w:hyperlink w:anchor="_Toc21971389" w:history="1">
        <w:r w:rsidR="00004FB8" w:rsidRPr="007B1CA4">
          <w:rPr>
            <w:rStyle w:val="a8"/>
            <w:rFonts w:hint="eastAsia"/>
            <w:noProof/>
            <w:sz w:val="30"/>
            <w:szCs w:val="30"/>
          </w:rPr>
          <w:t>二、</w:t>
        </w:r>
        <w:r w:rsidR="00004FB8" w:rsidRPr="007B1CA4">
          <w:rPr>
            <w:rFonts w:asciiTheme="minorHAnsi" w:eastAsiaTheme="minorEastAsia" w:hAnsiTheme="minorHAnsi" w:cstheme="minorBidi"/>
            <w:noProof/>
            <w:kern w:val="2"/>
            <w:sz w:val="30"/>
            <w:szCs w:val="30"/>
          </w:rPr>
          <w:tab/>
        </w:r>
        <w:r w:rsidR="00004FB8" w:rsidRPr="007B1CA4">
          <w:rPr>
            <w:rStyle w:val="a8"/>
            <w:rFonts w:hint="eastAsia"/>
            <w:noProof/>
            <w:sz w:val="30"/>
            <w:szCs w:val="30"/>
          </w:rPr>
          <w:t>基本面分析</w:t>
        </w:r>
        <w:r w:rsidR="00004FB8" w:rsidRPr="007B1CA4">
          <w:rPr>
            <w:noProof/>
            <w:webHidden/>
            <w:sz w:val="30"/>
            <w:szCs w:val="30"/>
          </w:rPr>
          <w:tab/>
        </w:r>
        <w:r w:rsidR="00905328">
          <w:rPr>
            <w:rFonts w:hint="eastAsia"/>
            <w:noProof/>
            <w:webHidden/>
            <w:sz w:val="30"/>
            <w:szCs w:val="30"/>
          </w:rPr>
          <w:t>2</w:t>
        </w:r>
      </w:hyperlink>
    </w:p>
    <w:p w:rsidR="00004FB8" w:rsidRPr="007B1CA4" w:rsidRDefault="00E23728">
      <w:pPr>
        <w:pStyle w:val="30"/>
        <w:tabs>
          <w:tab w:val="left" w:pos="1260"/>
          <w:tab w:val="right" w:leader="dot" w:pos="8296"/>
        </w:tabs>
        <w:rPr>
          <w:rFonts w:asciiTheme="minorHAnsi" w:eastAsiaTheme="minorEastAsia" w:hAnsiTheme="minorHAnsi" w:cstheme="minorBidi"/>
          <w:noProof/>
          <w:sz w:val="30"/>
          <w:szCs w:val="30"/>
        </w:rPr>
      </w:pPr>
      <w:hyperlink w:anchor="_Toc21971390" w:history="1">
        <w:r w:rsidR="00004FB8" w:rsidRPr="007B1CA4">
          <w:rPr>
            <w:rStyle w:val="a8"/>
            <w:noProof/>
            <w:sz w:val="30"/>
            <w:szCs w:val="30"/>
          </w:rPr>
          <w:t>1.</w:t>
        </w:r>
        <w:r w:rsidR="00004FB8" w:rsidRPr="007B1CA4">
          <w:rPr>
            <w:rFonts w:asciiTheme="minorHAnsi" w:eastAsiaTheme="minorEastAsia" w:hAnsiTheme="minorHAnsi" w:cstheme="minorBidi"/>
            <w:noProof/>
            <w:sz w:val="30"/>
            <w:szCs w:val="30"/>
          </w:rPr>
          <w:tab/>
        </w:r>
        <w:r w:rsidR="00004FB8" w:rsidRPr="007B1CA4">
          <w:rPr>
            <w:rStyle w:val="a8"/>
            <w:rFonts w:hint="eastAsia"/>
            <w:noProof/>
            <w:sz w:val="30"/>
            <w:szCs w:val="30"/>
          </w:rPr>
          <w:t>宏观</w:t>
        </w:r>
        <w:r w:rsidR="00004FB8" w:rsidRPr="007B1CA4">
          <w:rPr>
            <w:noProof/>
            <w:webHidden/>
            <w:sz w:val="30"/>
            <w:szCs w:val="30"/>
          </w:rPr>
          <w:tab/>
        </w:r>
        <w:r w:rsidR="00783CF1">
          <w:rPr>
            <w:rFonts w:hint="eastAsia"/>
            <w:noProof/>
            <w:webHidden/>
            <w:sz w:val="30"/>
            <w:szCs w:val="30"/>
          </w:rPr>
          <w:t>2</w:t>
        </w:r>
      </w:hyperlink>
    </w:p>
    <w:p w:rsidR="00004FB8" w:rsidRPr="007B1CA4" w:rsidRDefault="00E23728">
      <w:pPr>
        <w:pStyle w:val="30"/>
        <w:tabs>
          <w:tab w:val="left" w:pos="1260"/>
          <w:tab w:val="right" w:leader="dot" w:pos="8296"/>
        </w:tabs>
        <w:rPr>
          <w:rFonts w:asciiTheme="minorHAnsi" w:eastAsiaTheme="minorEastAsia" w:hAnsiTheme="minorHAnsi" w:cstheme="minorBidi"/>
          <w:noProof/>
          <w:sz w:val="30"/>
          <w:szCs w:val="30"/>
        </w:rPr>
      </w:pPr>
      <w:hyperlink w:anchor="_Toc21971391" w:history="1">
        <w:r w:rsidR="00004FB8" w:rsidRPr="007B1CA4">
          <w:rPr>
            <w:rStyle w:val="a8"/>
            <w:noProof/>
            <w:sz w:val="30"/>
            <w:szCs w:val="30"/>
          </w:rPr>
          <w:t>2.</w:t>
        </w:r>
        <w:r w:rsidR="00004FB8" w:rsidRPr="007B1CA4">
          <w:rPr>
            <w:rFonts w:asciiTheme="minorHAnsi" w:eastAsiaTheme="minorEastAsia" w:hAnsiTheme="minorHAnsi" w:cstheme="minorBidi"/>
            <w:noProof/>
            <w:sz w:val="30"/>
            <w:szCs w:val="30"/>
          </w:rPr>
          <w:tab/>
        </w:r>
        <w:r w:rsidR="00004FB8" w:rsidRPr="007B1CA4">
          <w:rPr>
            <w:rStyle w:val="a8"/>
            <w:rFonts w:hint="eastAsia"/>
            <w:noProof/>
            <w:sz w:val="30"/>
            <w:szCs w:val="30"/>
          </w:rPr>
          <w:t>供给</w:t>
        </w:r>
        <w:r w:rsidR="00004FB8" w:rsidRPr="007B1CA4">
          <w:rPr>
            <w:noProof/>
            <w:webHidden/>
            <w:sz w:val="30"/>
            <w:szCs w:val="30"/>
          </w:rPr>
          <w:tab/>
        </w:r>
        <w:r w:rsidR="00007D04">
          <w:rPr>
            <w:rFonts w:hint="eastAsia"/>
            <w:noProof/>
            <w:webHidden/>
            <w:sz w:val="30"/>
            <w:szCs w:val="30"/>
          </w:rPr>
          <w:t>12</w:t>
        </w:r>
      </w:hyperlink>
    </w:p>
    <w:p w:rsidR="00004FB8" w:rsidRPr="007B1CA4" w:rsidRDefault="00E23728">
      <w:pPr>
        <w:pStyle w:val="30"/>
        <w:tabs>
          <w:tab w:val="left" w:pos="1260"/>
          <w:tab w:val="right" w:leader="dot" w:pos="8296"/>
        </w:tabs>
        <w:rPr>
          <w:rFonts w:asciiTheme="minorHAnsi" w:eastAsiaTheme="minorEastAsia" w:hAnsiTheme="minorHAnsi" w:cstheme="minorBidi"/>
          <w:noProof/>
          <w:sz w:val="30"/>
          <w:szCs w:val="30"/>
        </w:rPr>
      </w:pPr>
      <w:hyperlink w:anchor="_Toc21971392" w:history="1">
        <w:r w:rsidR="00004FB8" w:rsidRPr="007B1CA4">
          <w:rPr>
            <w:rStyle w:val="a8"/>
            <w:noProof/>
            <w:sz w:val="30"/>
            <w:szCs w:val="30"/>
          </w:rPr>
          <w:t>3.</w:t>
        </w:r>
        <w:r w:rsidR="00004FB8" w:rsidRPr="007B1CA4">
          <w:rPr>
            <w:rFonts w:asciiTheme="minorHAnsi" w:eastAsiaTheme="minorEastAsia" w:hAnsiTheme="minorHAnsi" w:cstheme="minorBidi"/>
            <w:noProof/>
            <w:sz w:val="30"/>
            <w:szCs w:val="30"/>
          </w:rPr>
          <w:tab/>
        </w:r>
        <w:r w:rsidR="00004FB8" w:rsidRPr="007B1CA4">
          <w:rPr>
            <w:rStyle w:val="a8"/>
            <w:rFonts w:hint="eastAsia"/>
            <w:noProof/>
            <w:sz w:val="30"/>
            <w:szCs w:val="30"/>
          </w:rPr>
          <w:t>需求</w:t>
        </w:r>
        <w:r w:rsidR="00004FB8" w:rsidRPr="007B1CA4">
          <w:rPr>
            <w:noProof/>
            <w:webHidden/>
            <w:sz w:val="30"/>
            <w:szCs w:val="30"/>
          </w:rPr>
          <w:tab/>
        </w:r>
        <w:r w:rsidR="009B48BE">
          <w:rPr>
            <w:rFonts w:hint="eastAsia"/>
            <w:noProof/>
            <w:webHidden/>
            <w:sz w:val="30"/>
            <w:szCs w:val="30"/>
          </w:rPr>
          <w:t>1</w:t>
        </w:r>
        <w:r w:rsidR="00007D04">
          <w:rPr>
            <w:rFonts w:hint="eastAsia"/>
            <w:noProof/>
            <w:webHidden/>
            <w:sz w:val="30"/>
            <w:szCs w:val="30"/>
          </w:rPr>
          <w:t>6</w:t>
        </w:r>
      </w:hyperlink>
    </w:p>
    <w:p w:rsidR="00004FB8" w:rsidRPr="007B1CA4" w:rsidRDefault="00E23728">
      <w:pPr>
        <w:pStyle w:val="11"/>
        <w:tabs>
          <w:tab w:val="left" w:pos="840"/>
          <w:tab w:val="right" w:leader="dot" w:pos="8296"/>
        </w:tabs>
        <w:rPr>
          <w:rFonts w:asciiTheme="minorHAnsi" w:eastAsiaTheme="minorEastAsia" w:hAnsiTheme="minorHAnsi" w:cstheme="minorBidi"/>
          <w:noProof/>
          <w:kern w:val="2"/>
          <w:sz w:val="30"/>
          <w:szCs w:val="30"/>
        </w:rPr>
      </w:pPr>
      <w:hyperlink w:anchor="_Toc21971393" w:history="1">
        <w:r w:rsidR="00004FB8" w:rsidRPr="007B1CA4">
          <w:rPr>
            <w:rStyle w:val="a8"/>
            <w:rFonts w:hint="eastAsia"/>
            <w:noProof/>
            <w:sz w:val="30"/>
            <w:szCs w:val="30"/>
          </w:rPr>
          <w:t>三、</w:t>
        </w:r>
        <w:r w:rsidR="00004FB8" w:rsidRPr="007B1CA4">
          <w:rPr>
            <w:rFonts w:asciiTheme="minorHAnsi" w:eastAsiaTheme="minorEastAsia" w:hAnsiTheme="minorHAnsi" w:cstheme="minorBidi"/>
            <w:noProof/>
            <w:kern w:val="2"/>
            <w:sz w:val="30"/>
            <w:szCs w:val="30"/>
          </w:rPr>
          <w:tab/>
        </w:r>
        <w:r w:rsidR="00653DB9">
          <w:rPr>
            <w:rStyle w:val="a8"/>
            <w:rFonts w:hint="eastAsia"/>
            <w:noProof/>
            <w:sz w:val="30"/>
            <w:szCs w:val="30"/>
          </w:rPr>
          <w:t>白银</w:t>
        </w:r>
        <w:r w:rsidR="00004FB8" w:rsidRPr="007B1CA4">
          <w:rPr>
            <w:rStyle w:val="a8"/>
            <w:rFonts w:hint="eastAsia"/>
            <w:noProof/>
            <w:sz w:val="30"/>
            <w:szCs w:val="30"/>
          </w:rPr>
          <w:t>的技术分析</w:t>
        </w:r>
        <w:r w:rsidR="00004FB8" w:rsidRPr="007B1CA4">
          <w:rPr>
            <w:noProof/>
            <w:webHidden/>
            <w:sz w:val="30"/>
            <w:szCs w:val="30"/>
          </w:rPr>
          <w:tab/>
        </w:r>
        <w:r w:rsidR="00007D04">
          <w:rPr>
            <w:rFonts w:hint="eastAsia"/>
            <w:noProof/>
            <w:webHidden/>
            <w:sz w:val="30"/>
            <w:szCs w:val="30"/>
          </w:rPr>
          <w:t>2</w:t>
        </w:r>
        <w:r w:rsidR="00107458">
          <w:rPr>
            <w:rFonts w:hint="eastAsia"/>
            <w:noProof/>
            <w:webHidden/>
            <w:sz w:val="30"/>
            <w:szCs w:val="30"/>
          </w:rPr>
          <w:t>1</w:t>
        </w:r>
      </w:hyperlink>
    </w:p>
    <w:p w:rsidR="00004FB8" w:rsidRPr="00806C47" w:rsidRDefault="00E23728">
      <w:pPr>
        <w:pStyle w:val="11"/>
        <w:tabs>
          <w:tab w:val="left" w:pos="840"/>
          <w:tab w:val="right" w:leader="dot" w:pos="8296"/>
        </w:tabs>
        <w:rPr>
          <w:rFonts w:asciiTheme="minorHAnsi" w:eastAsiaTheme="minorEastAsia" w:hAnsiTheme="minorHAnsi" w:cstheme="minorBidi"/>
          <w:noProof/>
          <w:kern w:val="2"/>
          <w:sz w:val="24"/>
          <w:szCs w:val="24"/>
        </w:rPr>
      </w:pPr>
      <w:hyperlink w:anchor="_Toc21971394" w:history="1">
        <w:r w:rsidR="00004FB8" w:rsidRPr="007B1CA4">
          <w:rPr>
            <w:rStyle w:val="a8"/>
            <w:rFonts w:hint="eastAsia"/>
            <w:noProof/>
            <w:sz w:val="30"/>
            <w:szCs w:val="30"/>
          </w:rPr>
          <w:t>四、</w:t>
        </w:r>
        <w:r w:rsidR="00004FB8" w:rsidRPr="007B1CA4">
          <w:rPr>
            <w:rFonts w:asciiTheme="minorHAnsi" w:eastAsiaTheme="minorEastAsia" w:hAnsiTheme="minorHAnsi" w:cstheme="minorBidi"/>
            <w:noProof/>
            <w:kern w:val="2"/>
            <w:sz w:val="30"/>
            <w:szCs w:val="30"/>
          </w:rPr>
          <w:tab/>
        </w:r>
        <w:r w:rsidR="00004FB8" w:rsidRPr="007B1CA4">
          <w:rPr>
            <w:rStyle w:val="a8"/>
            <w:rFonts w:hint="eastAsia"/>
            <w:noProof/>
            <w:sz w:val="30"/>
            <w:szCs w:val="30"/>
          </w:rPr>
          <w:t>行情展望</w:t>
        </w:r>
        <w:r w:rsidR="00004FB8" w:rsidRPr="007B1CA4">
          <w:rPr>
            <w:noProof/>
            <w:webHidden/>
            <w:sz w:val="30"/>
            <w:szCs w:val="30"/>
          </w:rPr>
          <w:tab/>
        </w:r>
        <w:r w:rsidR="00564A32">
          <w:rPr>
            <w:rFonts w:hint="eastAsia"/>
            <w:noProof/>
            <w:webHidden/>
            <w:sz w:val="30"/>
            <w:szCs w:val="30"/>
          </w:rPr>
          <w:t>2</w:t>
        </w:r>
        <w:r w:rsidR="00107458">
          <w:rPr>
            <w:rFonts w:hint="eastAsia"/>
            <w:noProof/>
            <w:webHidden/>
            <w:sz w:val="30"/>
            <w:szCs w:val="30"/>
          </w:rPr>
          <w:t>3</w:t>
        </w:r>
      </w:hyperlink>
    </w:p>
    <w:p w:rsidR="008F4F87" w:rsidRDefault="00E23728" w:rsidP="00D0311B">
      <w:pPr>
        <w:spacing w:line="360" w:lineRule="auto"/>
      </w:pPr>
      <w:r w:rsidRPr="003B4E9C">
        <w:rPr>
          <w:rFonts w:asciiTheme="minorEastAsia" w:eastAsiaTheme="minorEastAsia" w:hAnsiTheme="minorEastAsia" w:cs="Arial"/>
          <w:sz w:val="24"/>
          <w:szCs w:val="24"/>
        </w:rPr>
        <w:fldChar w:fldCharType="end"/>
      </w:r>
    </w:p>
    <w:p w:rsidR="009B52E4" w:rsidRPr="00837D71" w:rsidRDefault="009B52E4" w:rsidP="009B52E4"/>
    <w:bookmarkEnd w:id="5"/>
    <w:p w:rsidR="00CA7FB9" w:rsidRDefault="00CA7FB9">
      <w:pPr>
        <w:widowControl/>
        <w:jc w:val="left"/>
      </w:pPr>
    </w:p>
    <w:p w:rsidR="00756FF5" w:rsidRDefault="00756FF5">
      <w:pPr>
        <w:widowControl/>
        <w:jc w:val="left"/>
        <w:rPr>
          <w:rFonts w:ascii="Cambria" w:hAnsi="Cambria"/>
          <w:b/>
          <w:bCs/>
          <w:sz w:val="32"/>
          <w:szCs w:val="32"/>
        </w:rPr>
      </w:pPr>
    </w:p>
    <w:p w:rsidR="00653DB9" w:rsidRDefault="00653DB9" w:rsidP="00653DB9">
      <w:pPr>
        <w:pStyle w:val="af"/>
        <w:rPr>
          <w:b/>
          <w:bCs/>
          <w:sz w:val="32"/>
          <w:szCs w:val="32"/>
        </w:rPr>
      </w:pPr>
    </w:p>
    <w:p w:rsidR="00653DB9" w:rsidRDefault="00653DB9" w:rsidP="00653DB9">
      <w:pPr>
        <w:widowControl/>
        <w:jc w:val="left"/>
        <w:rPr>
          <w:rFonts w:ascii="Cambria" w:hAnsi="Cambria"/>
          <w:b/>
          <w:bCs/>
          <w:sz w:val="32"/>
          <w:szCs w:val="32"/>
        </w:rPr>
        <w:sectPr w:rsidR="00653DB9" w:rsidSect="00CA7FB9">
          <w:headerReference w:type="default" r:id="rId10"/>
          <w:footerReference w:type="default" r:id="rId11"/>
          <w:pgSz w:w="11906" w:h="16838"/>
          <w:pgMar w:top="1440" w:right="1800" w:bottom="1440" w:left="1800" w:header="851" w:footer="992" w:gutter="0"/>
          <w:pgNumType w:start="1"/>
          <w:cols w:space="425"/>
          <w:docGrid w:type="lines" w:linePitch="312"/>
        </w:sectPr>
      </w:pPr>
    </w:p>
    <w:p w:rsidR="00653DB9" w:rsidRDefault="00653DB9" w:rsidP="00F80A9E">
      <w:pPr>
        <w:pStyle w:val="1"/>
        <w:numPr>
          <w:ilvl w:val="0"/>
          <w:numId w:val="1"/>
        </w:numPr>
        <w:spacing w:before="240" w:after="240" w:line="240" w:lineRule="auto"/>
        <w:ind w:left="0" w:firstLine="0"/>
        <w:rPr>
          <w:szCs w:val="28"/>
        </w:rPr>
      </w:pPr>
      <w:bookmarkStart w:id="6" w:name="_Toc21971221"/>
      <w:r>
        <w:rPr>
          <w:rFonts w:hint="eastAsia"/>
          <w:szCs w:val="28"/>
        </w:rPr>
        <w:lastRenderedPageBreak/>
        <w:t>行情分析</w:t>
      </w:r>
      <w:bookmarkEnd w:id="6"/>
      <w:r w:rsidR="004F73F7">
        <w:rPr>
          <w:rFonts w:hint="eastAsia"/>
          <w:szCs w:val="28"/>
        </w:rPr>
        <w:t>回顾</w:t>
      </w:r>
    </w:p>
    <w:p w:rsidR="00152DDB" w:rsidRDefault="00EA5985" w:rsidP="00A22B3B">
      <w:pPr>
        <w:pStyle w:val="a"/>
        <w:numPr>
          <w:ilvl w:val="0"/>
          <w:numId w:val="0"/>
        </w:numPr>
        <w:ind w:firstLineChars="200" w:firstLine="560"/>
        <w:rPr>
          <w:rFonts w:asciiTheme="minorEastAsia" w:eastAsiaTheme="minorEastAsia" w:hAnsiTheme="minorEastAsia"/>
          <w:sz w:val="28"/>
          <w:szCs w:val="28"/>
        </w:rPr>
      </w:pPr>
      <w:r w:rsidRPr="00A21553">
        <w:rPr>
          <w:rFonts w:asciiTheme="minorEastAsia" w:eastAsiaTheme="minorEastAsia" w:hAnsiTheme="minorEastAsia" w:hint="eastAsia"/>
          <w:sz w:val="28"/>
          <w:szCs w:val="28"/>
        </w:rPr>
        <w:t>贵金属</w:t>
      </w:r>
      <w:r w:rsidRPr="00A21553">
        <w:rPr>
          <w:rFonts w:asciiTheme="minorEastAsia" w:eastAsiaTheme="minorEastAsia" w:hAnsiTheme="minorEastAsia"/>
          <w:sz w:val="28"/>
          <w:szCs w:val="28"/>
        </w:rPr>
        <w:t>市场</w:t>
      </w:r>
      <w:r>
        <w:rPr>
          <w:rFonts w:asciiTheme="minorEastAsia" w:eastAsiaTheme="minorEastAsia" w:hAnsiTheme="minorEastAsia" w:hint="eastAsia"/>
          <w:sz w:val="28"/>
          <w:szCs w:val="28"/>
        </w:rPr>
        <w:t>全球联动，</w:t>
      </w:r>
      <w:r w:rsidRPr="00A21553">
        <w:rPr>
          <w:rFonts w:asciiTheme="minorEastAsia" w:eastAsiaTheme="minorEastAsia" w:hAnsiTheme="minorEastAsia"/>
          <w:sz w:val="28"/>
          <w:szCs w:val="28"/>
        </w:rPr>
        <w:t>流动性强、规模大，</w:t>
      </w:r>
      <w:r w:rsidRPr="00A21553">
        <w:rPr>
          <w:rFonts w:asciiTheme="minorEastAsia" w:eastAsiaTheme="minorEastAsia" w:hAnsiTheme="minorEastAsia" w:hint="eastAsia"/>
          <w:sz w:val="28"/>
          <w:szCs w:val="28"/>
        </w:rPr>
        <w:t>而且</w:t>
      </w:r>
      <w:r>
        <w:rPr>
          <w:rFonts w:asciiTheme="minorEastAsia" w:eastAsiaTheme="minorEastAsia" w:hAnsiTheme="minorEastAsia"/>
          <w:sz w:val="28"/>
          <w:szCs w:val="28"/>
        </w:rPr>
        <w:t>与其它</w:t>
      </w:r>
      <w:r w:rsidR="00BC0F6B">
        <w:rPr>
          <w:rFonts w:asciiTheme="minorEastAsia" w:eastAsiaTheme="minorEastAsia" w:hAnsiTheme="minorEastAsia"/>
          <w:sz w:val="28"/>
          <w:szCs w:val="28"/>
        </w:rPr>
        <w:t>资产的相关性较低，在资产配置中</w:t>
      </w:r>
      <w:r w:rsidR="008D1630">
        <w:rPr>
          <w:rFonts w:asciiTheme="minorEastAsia" w:eastAsiaTheme="minorEastAsia" w:hAnsiTheme="minorEastAsia" w:hint="eastAsia"/>
          <w:sz w:val="28"/>
          <w:szCs w:val="28"/>
        </w:rPr>
        <w:t>主要</w:t>
      </w:r>
      <w:r w:rsidR="00BC0F6B">
        <w:rPr>
          <w:rFonts w:asciiTheme="minorEastAsia" w:eastAsiaTheme="minorEastAsia" w:hAnsiTheme="minorEastAsia"/>
          <w:sz w:val="28"/>
          <w:szCs w:val="28"/>
        </w:rPr>
        <w:t>发挥</w:t>
      </w:r>
      <w:r w:rsidRPr="00A21553">
        <w:rPr>
          <w:rFonts w:asciiTheme="minorEastAsia" w:eastAsiaTheme="minorEastAsia" w:hAnsiTheme="minorEastAsia"/>
          <w:sz w:val="28"/>
          <w:szCs w:val="28"/>
        </w:rPr>
        <w:t>避风港</w:t>
      </w:r>
      <w:r w:rsidR="003C0317">
        <w:rPr>
          <w:rFonts w:asciiTheme="minorEastAsia" w:eastAsiaTheme="minorEastAsia" w:hAnsiTheme="minorEastAsia" w:hint="eastAsia"/>
          <w:sz w:val="28"/>
          <w:szCs w:val="28"/>
        </w:rPr>
        <w:t>、避险工具</w:t>
      </w:r>
      <w:r w:rsidRPr="00A21553">
        <w:rPr>
          <w:rFonts w:asciiTheme="minorEastAsia" w:eastAsiaTheme="minorEastAsia" w:hAnsiTheme="minorEastAsia"/>
          <w:sz w:val="28"/>
          <w:szCs w:val="28"/>
        </w:rPr>
        <w:t>的作用。</w:t>
      </w:r>
      <w:r w:rsidR="00761EF3" w:rsidRPr="00761EF3">
        <w:rPr>
          <w:rFonts w:asciiTheme="minorEastAsia" w:eastAsiaTheme="minorEastAsia" w:hAnsiTheme="minorEastAsia" w:hint="eastAsia"/>
          <w:sz w:val="28"/>
          <w:szCs w:val="28"/>
        </w:rPr>
        <w:t>在疫情没有实质控制前，低利率市场预期将趋于稳定，宽松政策仍将继续，但</w:t>
      </w:r>
      <w:r w:rsidR="00A22B3B">
        <w:rPr>
          <w:rFonts w:asciiTheme="minorEastAsia" w:eastAsiaTheme="minorEastAsia" w:hAnsiTheme="minorEastAsia" w:hint="eastAsia"/>
          <w:sz w:val="28"/>
          <w:szCs w:val="28"/>
        </w:rPr>
        <w:t>现在属于后疫情时代，</w:t>
      </w:r>
      <w:r w:rsidR="00A22B3B" w:rsidRPr="00A22B3B">
        <w:rPr>
          <w:rFonts w:asciiTheme="minorEastAsia" w:eastAsiaTheme="minorEastAsia" w:hAnsiTheme="minorEastAsia" w:hint="eastAsia"/>
          <w:sz w:val="28"/>
          <w:szCs w:val="28"/>
        </w:rPr>
        <w:t>贵金属热度逐步减弱，随着疫苗的不断投入市场，经济从疫情中恢复的预期强化，实际利率上升的可能性上升。</w:t>
      </w:r>
      <w:r w:rsidR="00831E8B" w:rsidRPr="00121827">
        <w:rPr>
          <w:rFonts w:asciiTheme="minorEastAsia" w:eastAsiaTheme="minorEastAsia" w:hAnsiTheme="minorEastAsia" w:hint="eastAsia"/>
          <w:sz w:val="28"/>
          <w:szCs w:val="28"/>
        </w:rPr>
        <w:t>4</w:t>
      </w:r>
      <w:r w:rsidR="00831E8B" w:rsidRPr="00121827">
        <w:rPr>
          <w:rFonts w:asciiTheme="minorEastAsia" w:eastAsiaTheme="minorEastAsia" w:hAnsiTheme="minorEastAsia"/>
          <w:sz w:val="28"/>
          <w:szCs w:val="28"/>
        </w:rPr>
        <w:t>月白银价格整体保持升势</w:t>
      </w:r>
      <w:r w:rsidR="00831E8B" w:rsidRPr="00121827">
        <w:rPr>
          <w:rFonts w:asciiTheme="minorEastAsia" w:eastAsiaTheme="minorEastAsia" w:hAnsiTheme="minorEastAsia" w:hint="eastAsia"/>
          <w:sz w:val="28"/>
          <w:szCs w:val="28"/>
        </w:rPr>
        <w:t>，</w:t>
      </w:r>
      <w:r w:rsidR="00831E8B" w:rsidRPr="00121827">
        <w:rPr>
          <w:rFonts w:asciiTheme="minorEastAsia" w:eastAsiaTheme="minorEastAsia" w:hAnsiTheme="minorEastAsia"/>
          <w:sz w:val="28"/>
          <w:szCs w:val="28"/>
        </w:rPr>
        <w:t>中上旬公布的美初请数据意外疲弱；</w:t>
      </w:r>
      <w:r w:rsidR="005959A3" w:rsidRPr="005959A3">
        <w:rPr>
          <w:rFonts w:asciiTheme="minorEastAsia" w:eastAsiaTheme="minorEastAsia" w:hAnsiTheme="minorEastAsia"/>
          <w:sz w:val="28"/>
          <w:szCs w:val="28"/>
        </w:rPr>
        <w:t>美联储货币政策调整的预期市场已有所消化，货币政策收紧因素对贵金属价格的利空影响减小</w:t>
      </w:r>
      <w:r w:rsidR="005959A3" w:rsidRPr="005959A3">
        <w:rPr>
          <w:rFonts w:asciiTheme="minorEastAsia" w:eastAsiaTheme="minorEastAsia" w:hAnsiTheme="minorEastAsia" w:hint="eastAsia"/>
          <w:sz w:val="28"/>
          <w:szCs w:val="28"/>
        </w:rPr>
        <w:t>，</w:t>
      </w:r>
      <w:r w:rsidR="005959A3" w:rsidRPr="005959A3">
        <w:rPr>
          <w:rFonts w:asciiTheme="minorEastAsia" w:eastAsiaTheme="minorEastAsia" w:hAnsiTheme="minorEastAsia"/>
          <w:sz w:val="28"/>
          <w:szCs w:val="28"/>
        </w:rPr>
        <w:t>特别是</w:t>
      </w:r>
      <w:r w:rsidR="00831E8B" w:rsidRPr="00121827">
        <w:rPr>
          <w:rFonts w:asciiTheme="minorEastAsia" w:eastAsiaTheme="minorEastAsia" w:hAnsiTheme="minorEastAsia"/>
          <w:sz w:val="28"/>
          <w:szCs w:val="28"/>
        </w:rPr>
        <w:t>新冠疫情确诊病例重新爆发，促使投资者对</w:t>
      </w:r>
      <w:r w:rsidR="005959A3" w:rsidRPr="005959A3">
        <w:rPr>
          <w:rFonts w:asciiTheme="minorEastAsia" w:eastAsiaTheme="minorEastAsia" w:hAnsiTheme="minorEastAsia"/>
          <w:sz w:val="28"/>
          <w:szCs w:val="28"/>
        </w:rPr>
        <w:t>市场对前期乐观的经济复苏预期有所修正，叠加资金面上日本基金大量入场布局美债，美债利率自 1.7%高位回落</w:t>
      </w:r>
      <w:r w:rsidR="00831E8B" w:rsidRPr="00121827">
        <w:rPr>
          <w:rFonts w:asciiTheme="minorEastAsia" w:eastAsiaTheme="minorEastAsia" w:hAnsiTheme="minorEastAsia"/>
          <w:sz w:val="28"/>
          <w:szCs w:val="28"/>
        </w:rPr>
        <w:t>，对白银价格形成支撑；中下旬时段，新冠疫苗再次掀起风波，基于血栓疑虑，美国食品药品管理局(FDA)与疾病管制与预防中心要求各州暂停使用强生疫苗，大大打击美方疫苗接种进度。</w:t>
      </w:r>
      <w:r w:rsidR="005959A3" w:rsidRPr="005959A3">
        <w:rPr>
          <w:rFonts w:asciiTheme="minorEastAsia" w:eastAsiaTheme="minorEastAsia" w:hAnsiTheme="minorEastAsia"/>
          <w:sz w:val="28"/>
          <w:szCs w:val="28"/>
        </w:rPr>
        <w:t>叠加</w:t>
      </w:r>
      <w:r w:rsidR="005959A3" w:rsidRPr="00121827">
        <w:rPr>
          <w:rFonts w:asciiTheme="minorEastAsia" w:eastAsiaTheme="minorEastAsia" w:hAnsiTheme="minorEastAsia"/>
          <w:sz w:val="28"/>
          <w:szCs w:val="28"/>
        </w:rPr>
        <w:t>美国和中国以及美国和俄罗斯之间的紧张关系在不断升级，</w:t>
      </w:r>
      <w:r w:rsidR="005959A3" w:rsidRPr="005959A3">
        <w:rPr>
          <w:rFonts w:asciiTheme="minorEastAsia" w:eastAsiaTheme="minorEastAsia" w:hAnsiTheme="minorEastAsia"/>
          <w:sz w:val="28"/>
          <w:szCs w:val="28"/>
        </w:rPr>
        <w:t>地缘政治压力加大，亚洲买盘较为强劲，</w:t>
      </w:r>
      <w:r w:rsidR="00831E8B" w:rsidRPr="00121827">
        <w:rPr>
          <w:rFonts w:asciiTheme="minorEastAsia" w:eastAsiaTheme="minorEastAsia" w:hAnsiTheme="minorEastAsia"/>
          <w:sz w:val="28"/>
          <w:szCs w:val="28"/>
        </w:rPr>
        <w:t>白银价格趁势而起，出现了几波涨势。后期随着美国人对经济和就业市场变得更加乐观，美国消费者信心指数在 4 月升至疫情爆发以来的最高点。随着就业与疫苗接种进展，经济正在改善</w:t>
      </w:r>
      <w:r w:rsidR="00831E8B" w:rsidRPr="00121827">
        <w:rPr>
          <w:rFonts w:asciiTheme="minorEastAsia" w:eastAsiaTheme="minorEastAsia" w:hAnsiTheme="minorEastAsia" w:hint="eastAsia"/>
          <w:sz w:val="28"/>
          <w:szCs w:val="28"/>
        </w:rPr>
        <w:t>，</w:t>
      </w:r>
      <w:r w:rsidR="00831E8B" w:rsidRPr="00121827">
        <w:rPr>
          <w:rFonts w:asciiTheme="minorEastAsia" w:eastAsiaTheme="minorEastAsia" w:hAnsiTheme="minorEastAsia"/>
          <w:sz w:val="28"/>
          <w:szCs w:val="28"/>
        </w:rPr>
        <w:t>美元走强打压白银</w:t>
      </w:r>
      <w:r w:rsidR="00121827" w:rsidRPr="00121827">
        <w:rPr>
          <w:rFonts w:asciiTheme="minorEastAsia" w:eastAsiaTheme="minorEastAsia" w:hAnsiTheme="minorEastAsia"/>
          <w:sz w:val="28"/>
          <w:szCs w:val="28"/>
        </w:rPr>
        <w:t>，</w:t>
      </w:r>
      <w:r w:rsidR="00121827" w:rsidRPr="00121827">
        <w:rPr>
          <w:rFonts w:asciiTheme="minorEastAsia" w:eastAsiaTheme="minorEastAsia" w:hAnsiTheme="minorEastAsia" w:hint="eastAsia"/>
          <w:sz w:val="28"/>
          <w:szCs w:val="28"/>
        </w:rPr>
        <w:t>白银依然处于震荡环境</w:t>
      </w:r>
      <w:r w:rsidR="005959A3">
        <w:rPr>
          <w:rFonts w:asciiTheme="minorEastAsia" w:eastAsiaTheme="minorEastAsia" w:hAnsiTheme="minorEastAsia" w:hint="eastAsia"/>
          <w:sz w:val="28"/>
          <w:szCs w:val="28"/>
        </w:rPr>
        <w:t>，</w:t>
      </w:r>
      <w:r w:rsidR="00DE22A1" w:rsidRPr="00DE22A1">
        <w:rPr>
          <w:rFonts w:asciiTheme="minorEastAsia" w:eastAsiaTheme="minorEastAsia" w:hAnsiTheme="minorEastAsia"/>
          <w:sz w:val="28"/>
          <w:szCs w:val="28"/>
        </w:rPr>
        <w:t>银价需关注工业属性支撑</w:t>
      </w:r>
      <w:r w:rsidR="00DE22A1" w:rsidRPr="00DE22A1">
        <w:rPr>
          <w:rFonts w:asciiTheme="minorEastAsia" w:eastAsiaTheme="minorEastAsia" w:hAnsiTheme="minorEastAsia" w:hint="eastAsia"/>
          <w:sz w:val="28"/>
          <w:szCs w:val="28"/>
        </w:rPr>
        <w:t>，</w:t>
      </w:r>
      <w:r w:rsidR="00C5428F">
        <w:rPr>
          <w:rFonts w:asciiTheme="minorEastAsia" w:eastAsiaTheme="minorEastAsia" w:hAnsiTheme="minorEastAsia" w:hint="eastAsia"/>
          <w:sz w:val="28"/>
          <w:szCs w:val="28"/>
        </w:rPr>
        <w:t>中长期</w:t>
      </w:r>
      <w:r w:rsidR="00DE22A1">
        <w:rPr>
          <w:rFonts w:asciiTheme="minorEastAsia" w:eastAsiaTheme="minorEastAsia" w:hAnsiTheme="minorEastAsia" w:hint="eastAsia"/>
          <w:sz w:val="28"/>
          <w:szCs w:val="28"/>
        </w:rPr>
        <w:t>依然</w:t>
      </w:r>
      <w:r w:rsidR="00CB2137">
        <w:rPr>
          <w:rFonts w:asciiTheme="minorEastAsia" w:eastAsiaTheme="minorEastAsia" w:hAnsiTheme="minorEastAsia" w:hint="eastAsia"/>
          <w:sz w:val="28"/>
          <w:szCs w:val="28"/>
        </w:rPr>
        <w:t>建议</w:t>
      </w:r>
      <w:r w:rsidR="00121827">
        <w:rPr>
          <w:rFonts w:asciiTheme="minorEastAsia" w:eastAsiaTheme="minorEastAsia" w:hAnsiTheme="minorEastAsia" w:hint="eastAsia"/>
          <w:sz w:val="28"/>
          <w:szCs w:val="28"/>
        </w:rPr>
        <w:t>关注盘整偏强的箱体形态，可以在箱体底部</w:t>
      </w:r>
      <w:r w:rsidR="00152DDB">
        <w:rPr>
          <w:rFonts w:asciiTheme="minorEastAsia" w:eastAsiaTheme="minorEastAsia" w:hAnsiTheme="minorEastAsia" w:hint="eastAsia"/>
          <w:sz w:val="28"/>
          <w:szCs w:val="28"/>
        </w:rPr>
        <w:t>设计</w:t>
      </w:r>
      <w:r w:rsidR="00721B51">
        <w:rPr>
          <w:rFonts w:asciiTheme="minorEastAsia" w:eastAsiaTheme="minorEastAsia" w:hAnsiTheme="minorEastAsia" w:hint="eastAsia"/>
          <w:sz w:val="28"/>
          <w:szCs w:val="28"/>
        </w:rPr>
        <w:t>择机</w:t>
      </w:r>
      <w:r w:rsidR="00121827">
        <w:rPr>
          <w:rFonts w:asciiTheme="minorEastAsia" w:eastAsiaTheme="minorEastAsia" w:hAnsiTheme="minorEastAsia" w:hint="eastAsia"/>
          <w:sz w:val="28"/>
          <w:szCs w:val="28"/>
        </w:rPr>
        <w:t>买入</w:t>
      </w:r>
      <w:r w:rsidR="00670F56">
        <w:rPr>
          <w:rFonts w:asciiTheme="minorEastAsia" w:eastAsiaTheme="minorEastAsia" w:hAnsiTheme="minorEastAsia" w:hint="eastAsia"/>
          <w:sz w:val="28"/>
          <w:szCs w:val="28"/>
        </w:rPr>
        <w:t>策略</w:t>
      </w:r>
      <w:r w:rsidR="00E64BF3" w:rsidRPr="00E64BF3">
        <w:rPr>
          <w:rFonts w:asciiTheme="minorEastAsia" w:eastAsiaTheme="minorEastAsia" w:hAnsiTheme="minorEastAsia"/>
          <w:sz w:val="28"/>
          <w:szCs w:val="28"/>
        </w:rPr>
        <w:t>。</w:t>
      </w:r>
    </w:p>
    <w:p w:rsidR="00B8196A" w:rsidRPr="0071278A" w:rsidRDefault="00B8196A" w:rsidP="00F80A9E">
      <w:pPr>
        <w:pStyle w:val="1"/>
        <w:numPr>
          <w:ilvl w:val="0"/>
          <w:numId w:val="1"/>
        </w:numPr>
        <w:spacing w:before="240" w:after="240" w:line="240" w:lineRule="auto"/>
        <w:ind w:left="0" w:firstLine="0"/>
        <w:rPr>
          <w:szCs w:val="28"/>
        </w:rPr>
      </w:pPr>
      <w:bookmarkStart w:id="7" w:name="_Toc21971222"/>
      <w:r w:rsidRPr="00295E08">
        <w:rPr>
          <w:rFonts w:hint="eastAsia"/>
          <w:szCs w:val="28"/>
        </w:rPr>
        <w:lastRenderedPageBreak/>
        <w:t>基本面分析</w:t>
      </w:r>
      <w:bookmarkEnd w:id="7"/>
    </w:p>
    <w:p w:rsidR="00610799" w:rsidRPr="00E56EF9" w:rsidRDefault="00B8196A" w:rsidP="00E56EF9">
      <w:pPr>
        <w:pStyle w:val="3"/>
        <w:numPr>
          <w:ilvl w:val="0"/>
          <w:numId w:val="2"/>
        </w:numPr>
        <w:spacing w:before="100" w:after="100" w:line="240" w:lineRule="auto"/>
        <w:ind w:left="0" w:firstLineChars="0" w:firstLine="0"/>
        <w:rPr>
          <w:szCs w:val="28"/>
        </w:rPr>
      </w:pPr>
      <w:bookmarkStart w:id="8" w:name="_Toc21971223"/>
      <w:r w:rsidRPr="008F28C7">
        <w:rPr>
          <w:rFonts w:hint="eastAsia"/>
          <w:szCs w:val="28"/>
        </w:rPr>
        <w:t>宏观</w:t>
      </w:r>
      <w:bookmarkEnd w:id="8"/>
    </w:p>
    <w:p w:rsidR="00D15282" w:rsidRPr="00D15282" w:rsidRDefault="00783CF1" w:rsidP="00D62DD7">
      <w:pPr>
        <w:ind w:firstLineChars="196" w:firstLine="551"/>
        <w:rPr>
          <w:rFonts w:asciiTheme="minorEastAsia" w:eastAsiaTheme="minorEastAsia" w:hAnsiTheme="minorEastAsia"/>
          <w:b/>
          <w:sz w:val="28"/>
          <w:szCs w:val="28"/>
        </w:rPr>
      </w:pPr>
      <w:r>
        <w:rPr>
          <w:rFonts w:asciiTheme="minorEastAsia" w:eastAsiaTheme="minorEastAsia" w:hAnsiTheme="minorEastAsia"/>
          <w:b/>
          <w:sz w:val="28"/>
          <w:szCs w:val="28"/>
        </w:rPr>
        <w:t>美国经济</w:t>
      </w:r>
      <w:r w:rsidR="00A00DFE">
        <w:rPr>
          <w:rFonts w:asciiTheme="minorEastAsia" w:eastAsiaTheme="minorEastAsia" w:hAnsiTheme="minorEastAsia" w:hint="eastAsia"/>
          <w:b/>
          <w:sz w:val="28"/>
          <w:szCs w:val="28"/>
        </w:rPr>
        <w:t>表现强劲</w:t>
      </w:r>
    </w:p>
    <w:p w:rsidR="00495D4E" w:rsidRPr="00C15F43" w:rsidRDefault="005E348E" w:rsidP="00B56C07">
      <w:pPr>
        <w:pStyle w:val="a"/>
        <w:numPr>
          <w:ilvl w:val="0"/>
          <w:numId w:val="0"/>
        </w:num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美元与白银负相关，</w:t>
      </w:r>
      <w:r w:rsidR="0063202A">
        <w:rPr>
          <w:rFonts w:asciiTheme="minorEastAsia" w:eastAsiaTheme="minorEastAsia" w:hAnsiTheme="minorEastAsia" w:hint="eastAsia"/>
          <w:sz w:val="28"/>
          <w:szCs w:val="28"/>
        </w:rPr>
        <w:t>当前</w:t>
      </w:r>
      <w:r w:rsidR="00D62DD7">
        <w:rPr>
          <w:rFonts w:asciiTheme="minorEastAsia" w:eastAsiaTheme="minorEastAsia" w:hAnsiTheme="minorEastAsia" w:hint="eastAsia"/>
          <w:sz w:val="28"/>
          <w:szCs w:val="28"/>
        </w:rPr>
        <w:t>经济大周期</w:t>
      </w:r>
      <w:r w:rsidR="0063202A" w:rsidRPr="0063202A">
        <w:rPr>
          <w:rFonts w:asciiTheme="minorEastAsia" w:eastAsiaTheme="minorEastAsia" w:hAnsiTheme="minorEastAsia" w:hint="eastAsia"/>
          <w:sz w:val="28"/>
          <w:szCs w:val="28"/>
        </w:rPr>
        <w:t>美元处于弱周期，</w:t>
      </w:r>
      <w:r w:rsidR="00D62DD7" w:rsidRPr="0063202A">
        <w:rPr>
          <w:rFonts w:asciiTheme="minorEastAsia" w:eastAsiaTheme="minorEastAsia" w:hAnsiTheme="minorEastAsia" w:hint="eastAsia"/>
          <w:sz w:val="28"/>
          <w:szCs w:val="28"/>
        </w:rPr>
        <w:t>美元的贬值，有利于美国产品出口，和制造业回流，扭转贸易逆差。</w:t>
      </w:r>
      <w:r w:rsidR="00A00DFE" w:rsidRPr="00B93777">
        <w:rPr>
          <w:rFonts w:asciiTheme="minorEastAsia" w:eastAsiaTheme="minorEastAsia" w:hAnsiTheme="minorEastAsia" w:hint="eastAsia"/>
          <w:sz w:val="28"/>
          <w:szCs w:val="28"/>
        </w:rPr>
        <w:t>美国经济数据表现强劲叠加美联储保持宽松货币政策，导致</w:t>
      </w:r>
      <w:r w:rsidR="00831E8B" w:rsidRPr="00C15F43">
        <w:rPr>
          <w:rFonts w:asciiTheme="minorEastAsia" w:eastAsiaTheme="minorEastAsia" w:hAnsiTheme="minorEastAsia" w:hint="eastAsia"/>
          <w:sz w:val="28"/>
          <w:szCs w:val="28"/>
        </w:rPr>
        <w:t>4月份美元指数只能用四个字来形容，那就是“跌跌不休”。美元从高位93以上跌落到了现在的90.5，一个月时间，贬值了3000个基点，而这背后，则在于美国的不断宽松。</w:t>
      </w:r>
      <w:r w:rsidR="00495D4E" w:rsidRPr="00C15F43">
        <w:rPr>
          <w:rFonts w:asciiTheme="minorEastAsia" w:eastAsiaTheme="minorEastAsia" w:hAnsiTheme="minorEastAsia"/>
          <w:sz w:val="28"/>
          <w:szCs w:val="28"/>
        </w:rPr>
        <w:t>在新一轮财政刺激向居民发放 1400 美元的现金支票后，居民收入大幅增长，消费进一步回 暖。从 3 月零售销售数据表现上看，零售销售环比增长 9.8%，</w:t>
      </w:r>
      <w:r w:rsidR="00495D4E" w:rsidRPr="00B93777">
        <w:rPr>
          <w:rFonts w:asciiTheme="minorEastAsia" w:eastAsiaTheme="minorEastAsia" w:hAnsiTheme="minorEastAsia" w:hint="eastAsia"/>
          <w:sz w:val="28"/>
          <w:szCs w:val="28"/>
        </w:rPr>
        <w:t>创去年5月来新高。</w:t>
      </w:r>
      <w:r w:rsidR="00495D4E" w:rsidRPr="00C15F43">
        <w:rPr>
          <w:rFonts w:asciiTheme="minorEastAsia" w:eastAsiaTheme="minorEastAsia" w:hAnsiTheme="minorEastAsia"/>
          <w:sz w:val="28"/>
          <w:szCs w:val="28"/>
        </w:rPr>
        <w:t>核心零售销售环比增长 8.5%均高于市场预 期。其中体育爱好乐器、服装、汽车等类别增长幅度均超 15%。此外，美国密歇根大学消费者信心指数也出现了全方位的进一步上行，消费者对未来一年通胀的预期值升至 3.7%近 10 年来高位，反映出居民消费火热前景。然而还有大量资金以储蓄的形式留存在居民部门，目前美国储蓄率仍处在 13.6%高位，未来消费上行还有较充足的动力，短期内通胀仍有望进一步上行，这将对贵金属形成提振。</w:t>
      </w:r>
    </w:p>
    <w:p w:rsidR="00E94A56" w:rsidRDefault="00B93777" w:rsidP="00495D4E">
      <w:pPr>
        <w:pStyle w:val="a"/>
        <w:numPr>
          <w:ilvl w:val="0"/>
          <w:numId w:val="0"/>
        </w:numPr>
        <w:ind w:firstLineChars="200" w:firstLine="560"/>
        <w:rPr>
          <w:rFonts w:asciiTheme="minorEastAsia" w:eastAsiaTheme="minorEastAsia" w:hAnsiTheme="minorEastAsia"/>
          <w:sz w:val="28"/>
          <w:szCs w:val="28"/>
        </w:rPr>
      </w:pPr>
      <w:r w:rsidRPr="00B93777">
        <w:rPr>
          <w:rFonts w:asciiTheme="minorEastAsia" w:eastAsiaTheme="minorEastAsia" w:hAnsiTheme="minorEastAsia" w:hint="eastAsia"/>
          <w:sz w:val="28"/>
          <w:szCs w:val="28"/>
        </w:rPr>
        <w:t>Markit美国制造业4月PMI初值升至60.6，略低于市场预期的61，高于3月前值59.1，并创2007年5月开始收集数据以来的纪录</w:t>
      </w:r>
      <w:r w:rsidRPr="00B93777">
        <w:rPr>
          <w:rFonts w:asciiTheme="minorEastAsia" w:eastAsiaTheme="minorEastAsia" w:hAnsiTheme="minorEastAsia" w:hint="eastAsia"/>
          <w:sz w:val="28"/>
          <w:szCs w:val="28"/>
        </w:rPr>
        <w:lastRenderedPageBreak/>
        <w:t>最高。三月新屋销售季调之后为年化102.1万户，创下2006年以来的最高水平，环比二月份出现了20%以上的增长。3月成屋销售环比小幅下降3.7%</w:t>
      </w:r>
      <w:r w:rsidR="00495D4E">
        <w:rPr>
          <w:rFonts w:asciiTheme="minorEastAsia" w:eastAsiaTheme="minorEastAsia" w:hAnsiTheme="minorEastAsia" w:hint="eastAsia"/>
          <w:sz w:val="28"/>
          <w:szCs w:val="28"/>
        </w:rPr>
        <w:t>，主要是由于供给减少。美国公布的经济数据均</w:t>
      </w:r>
      <w:r w:rsidRPr="00B93777">
        <w:rPr>
          <w:rFonts w:asciiTheme="minorEastAsia" w:eastAsiaTheme="minorEastAsia" w:hAnsiTheme="minorEastAsia" w:hint="eastAsia"/>
          <w:sz w:val="28"/>
          <w:szCs w:val="28"/>
        </w:rPr>
        <w:t>表明美</w:t>
      </w:r>
      <w:r>
        <w:rPr>
          <w:rFonts w:asciiTheme="minorEastAsia" w:eastAsiaTheme="minorEastAsia" w:hAnsiTheme="minorEastAsia" w:hint="eastAsia"/>
          <w:sz w:val="28"/>
          <w:szCs w:val="28"/>
        </w:rPr>
        <w:t>国经济在加快复苏，提振市场对经济前景的乐观预期</w:t>
      </w:r>
      <w:r w:rsidRPr="00B93777">
        <w:rPr>
          <w:rFonts w:asciiTheme="minorEastAsia" w:eastAsiaTheme="minorEastAsia" w:hAnsiTheme="minorEastAsia" w:hint="eastAsia"/>
          <w:sz w:val="28"/>
          <w:szCs w:val="28"/>
        </w:rPr>
        <w:t>。</w:t>
      </w:r>
    </w:p>
    <w:p w:rsidR="00E94A56" w:rsidRDefault="0016126C" w:rsidP="00E94A56">
      <w:pPr>
        <w:pStyle w:val="a"/>
      </w:pPr>
      <w:r>
        <w:t>美元指数</w:t>
      </w:r>
      <w:r w:rsidR="00747F9A">
        <w:rPr>
          <w:rFonts w:hint="eastAsia"/>
        </w:rPr>
        <w:t>与银</w:t>
      </w:r>
      <w:r>
        <w:rPr>
          <w:rFonts w:hint="eastAsia"/>
        </w:rPr>
        <w:t>价</w:t>
      </w:r>
      <w:r w:rsidR="00BD4062">
        <w:rPr>
          <w:rFonts w:hint="eastAsia"/>
        </w:rPr>
        <w:t>(</w:t>
      </w:r>
      <w:r w:rsidR="00BD4062">
        <w:rPr>
          <w:rFonts w:hint="eastAsia"/>
        </w:rPr>
        <w:t>周线</w:t>
      </w:r>
      <w:r w:rsidR="00B71634">
        <w:rPr>
          <w:rFonts w:hint="eastAsia"/>
        </w:rPr>
        <w:t>，白银</w:t>
      </w:r>
      <w:r w:rsidR="00A00DFE">
        <w:rPr>
          <w:rFonts w:hint="eastAsia"/>
        </w:rPr>
        <w:t>是</w:t>
      </w:r>
      <w:r w:rsidR="00B71634">
        <w:rPr>
          <w:rFonts w:hint="eastAsia"/>
        </w:rPr>
        <w:t>浅黄</w:t>
      </w:r>
      <w:r w:rsidR="00BD4062">
        <w:rPr>
          <w:rFonts w:hint="eastAsia"/>
        </w:rPr>
        <w:t>)</w:t>
      </w:r>
    </w:p>
    <w:p w:rsidR="00E94A56" w:rsidRPr="00EF37DA" w:rsidRDefault="00BD4062" w:rsidP="00EF37DA">
      <w:pPr>
        <w:pStyle w:val="a"/>
        <w:numPr>
          <w:ilvl w:val="0"/>
          <w:numId w:val="0"/>
        </w:numPr>
        <w:rPr>
          <w:kern w:val="0"/>
        </w:rPr>
      </w:pPr>
      <w:r w:rsidRPr="00BD4062">
        <w:rPr>
          <w:noProof/>
          <w:kern w:val="0"/>
        </w:rPr>
        <w:drawing>
          <wp:inline distT="0" distB="0" distL="0" distR="0">
            <wp:extent cx="4274654" cy="3031435"/>
            <wp:effectExtent l="19050" t="0" r="0" b="0"/>
            <wp:docPr id="9" name="图片 1" descr="C:\Users\Administrator.PC-20180609PZTX\AppData\Roaming\Tencent\Users\459585606\QQ\WinTemp\RichOle\]X0IOFCEF%Y1G_8OV5PP(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PC-20180609PZTX\AppData\Roaming\Tencent\Users\459585606\QQ\WinTemp\RichOle\]X0IOFCEF%Y1G_8OV5PP(89.png"/>
                    <pic:cNvPicPr>
                      <a:picLocks noChangeAspect="1" noChangeArrowheads="1"/>
                    </pic:cNvPicPr>
                  </pic:nvPicPr>
                  <pic:blipFill>
                    <a:blip r:embed="rId12"/>
                    <a:srcRect/>
                    <a:stretch>
                      <a:fillRect/>
                    </a:stretch>
                  </pic:blipFill>
                  <pic:spPr bwMode="auto">
                    <a:xfrm>
                      <a:off x="0" y="0"/>
                      <a:ext cx="4281996" cy="3036642"/>
                    </a:xfrm>
                    <a:prstGeom prst="rect">
                      <a:avLst/>
                    </a:prstGeom>
                    <a:noFill/>
                    <a:ln w="9525">
                      <a:noFill/>
                      <a:miter lim="800000"/>
                      <a:headEnd/>
                      <a:tailEnd/>
                    </a:ln>
                  </pic:spPr>
                </pic:pic>
              </a:graphicData>
            </a:graphic>
          </wp:inline>
        </w:drawing>
      </w:r>
    </w:p>
    <w:p w:rsidR="00375515" w:rsidRDefault="00E94A56" w:rsidP="00FC44C0">
      <w:pPr>
        <w:jc w:val="right"/>
        <w:rPr>
          <w:rFonts w:asciiTheme="minorEastAsia" w:eastAsiaTheme="minorEastAsia" w:hAnsiTheme="minorEastAsia"/>
          <w:sz w:val="28"/>
          <w:szCs w:val="28"/>
        </w:rPr>
      </w:pPr>
      <w:r>
        <w:rPr>
          <w:rFonts w:hint="eastAsia"/>
          <w:noProof/>
          <w:kern w:val="0"/>
        </w:rPr>
        <w:t>数据来源：民生期货、</w:t>
      </w:r>
      <w:r>
        <w:rPr>
          <w:rFonts w:hint="eastAsia"/>
          <w:noProof/>
          <w:kern w:val="0"/>
        </w:rPr>
        <w:t>WIND</w:t>
      </w:r>
    </w:p>
    <w:p w:rsidR="00EA5985" w:rsidRPr="007069DF" w:rsidRDefault="006F3C6B" w:rsidP="007069DF">
      <w:pPr>
        <w:ind w:firstLineChars="200" w:firstLine="562"/>
        <w:rPr>
          <w:rFonts w:asciiTheme="minorEastAsia" w:eastAsiaTheme="minorEastAsia" w:hAnsiTheme="minorEastAsia"/>
          <w:b/>
          <w:sz w:val="28"/>
          <w:szCs w:val="28"/>
        </w:rPr>
      </w:pPr>
      <w:r w:rsidRPr="006F3C6B">
        <w:rPr>
          <w:rFonts w:asciiTheme="minorEastAsia" w:eastAsiaTheme="minorEastAsia" w:hAnsiTheme="minorEastAsia"/>
          <w:b/>
          <w:sz w:val="28"/>
          <w:szCs w:val="28"/>
        </w:rPr>
        <w:t>美国</w:t>
      </w:r>
      <w:r w:rsidR="00DE22A1">
        <w:rPr>
          <w:rFonts w:asciiTheme="minorEastAsia" w:eastAsiaTheme="minorEastAsia" w:hAnsiTheme="minorEastAsia"/>
          <w:b/>
          <w:sz w:val="28"/>
          <w:szCs w:val="28"/>
        </w:rPr>
        <w:t xml:space="preserve"> </w:t>
      </w:r>
      <w:r w:rsidR="00EC334C">
        <w:rPr>
          <w:rFonts w:asciiTheme="minorEastAsia" w:eastAsiaTheme="minorEastAsia" w:hAnsiTheme="minorEastAsia" w:hint="eastAsia"/>
          <w:b/>
          <w:sz w:val="28"/>
          <w:szCs w:val="28"/>
        </w:rPr>
        <w:t>3</w:t>
      </w:r>
      <w:r w:rsidR="00DE22A1">
        <w:rPr>
          <w:rFonts w:asciiTheme="minorEastAsia" w:eastAsiaTheme="minorEastAsia" w:hAnsiTheme="minorEastAsia"/>
          <w:b/>
          <w:sz w:val="28"/>
          <w:szCs w:val="28"/>
        </w:rPr>
        <w:t>月非农数据</w:t>
      </w:r>
      <w:r w:rsidR="00EC334C">
        <w:rPr>
          <w:rFonts w:asciiTheme="minorEastAsia" w:eastAsiaTheme="minorEastAsia" w:hAnsiTheme="minorEastAsia" w:hint="eastAsia"/>
          <w:b/>
          <w:sz w:val="28"/>
          <w:szCs w:val="28"/>
        </w:rPr>
        <w:t>远超预期</w:t>
      </w:r>
    </w:p>
    <w:p w:rsidR="00DE22A1" w:rsidRPr="00C15F43" w:rsidRDefault="006F3C6B" w:rsidP="00C15F43">
      <w:pPr>
        <w:pStyle w:val="ac"/>
        <w:shd w:val="clear" w:color="auto" w:fill="FFFFFF"/>
        <w:spacing w:before="250" w:line="480" w:lineRule="atLeast"/>
        <w:ind w:firstLine="480"/>
        <w:jc w:val="both"/>
        <w:rPr>
          <w:rFonts w:asciiTheme="minorEastAsia" w:eastAsiaTheme="minorEastAsia" w:hAnsiTheme="minorEastAsia"/>
          <w:sz w:val="28"/>
          <w:szCs w:val="28"/>
        </w:rPr>
      </w:pPr>
      <w:r w:rsidRPr="006F3C6B">
        <w:rPr>
          <w:rFonts w:asciiTheme="minorEastAsia" w:eastAsiaTheme="minorEastAsia" w:hAnsiTheme="minorEastAsia"/>
          <w:sz w:val="28"/>
          <w:szCs w:val="28"/>
        </w:rPr>
        <w:t>非农就业数据是确定美国经济状态的重要指标，也是预测其未来经济活动水平的重要依据，此外还是判断美联储加息与否以及美元指数走势的关键信息。美国劳工部公布数据显示，</w:t>
      </w:r>
      <w:r w:rsidR="000151FF" w:rsidRPr="00C15F43">
        <w:rPr>
          <w:rFonts w:asciiTheme="minorEastAsia" w:eastAsiaTheme="minorEastAsia" w:hAnsiTheme="minorEastAsia"/>
          <w:sz w:val="28"/>
          <w:szCs w:val="28"/>
        </w:rPr>
        <w:t>美国 3 月非农就业人数增加 91.6 万人远超预期，失业率下降至 6%与预期持平，其中服务业就业复苏速度较快，显示出疫情对服务业的负面影响正在削弱。随着疫苗接种的全面铺开，服务业就业改善趋势将持续。然而美国劳</w:t>
      </w:r>
      <w:r w:rsidR="000151FF" w:rsidRPr="00C15F43">
        <w:rPr>
          <w:rFonts w:asciiTheme="minorEastAsia" w:eastAsiaTheme="minorEastAsia" w:hAnsiTheme="minorEastAsia"/>
          <w:sz w:val="28"/>
          <w:szCs w:val="28"/>
        </w:rPr>
        <w:lastRenderedPageBreak/>
        <w:t>动参与率仍处于低位，说明就业修复进展仍缓慢。从周频申领失业金人数上来看，以各种形式领取失业补助的人数自 1900 万高位下降至 1700 万人附近。当周初请失业金人数连续下降，4 月下旬已回落至 60 万人下方，创去年</w:t>
      </w:r>
      <w:r w:rsidR="00CA657D" w:rsidRPr="00C15F43">
        <w:rPr>
          <w:rFonts w:asciiTheme="minorEastAsia" w:eastAsiaTheme="minorEastAsia" w:hAnsiTheme="minorEastAsia"/>
          <w:sz w:val="28"/>
          <w:szCs w:val="28"/>
        </w:rPr>
        <w:t xml:space="preserve"> 3</w:t>
      </w:r>
      <w:r w:rsidR="000151FF" w:rsidRPr="00C15F43">
        <w:rPr>
          <w:rFonts w:asciiTheme="minorEastAsia" w:eastAsiaTheme="minorEastAsia" w:hAnsiTheme="minorEastAsia"/>
          <w:sz w:val="28"/>
          <w:szCs w:val="28"/>
        </w:rPr>
        <w:t>月以来新低。美国</w:t>
      </w:r>
      <w:r w:rsidR="00CA657D" w:rsidRPr="00C15F43">
        <w:rPr>
          <w:rFonts w:asciiTheme="minorEastAsia" w:eastAsiaTheme="minorEastAsia" w:hAnsiTheme="minorEastAsia"/>
          <w:sz w:val="28"/>
          <w:szCs w:val="28"/>
        </w:rPr>
        <w:t xml:space="preserve"> 4</w:t>
      </w:r>
      <w:r w:rsidR="000151FF" w:rsidRPr="00C15F43">
        <w:rPr>
          <w:rFonts w:asciiTheme="minorEastAsia" w:eastAsiaTheme="minorEastAsia" w:hAnsiTheme="minorEastAsia"/>
          <w:sz w:val="28"/>
          <w:szCs w:val="28"/>
        </w:rPr>
        <w:t>月就业修复出现加速迹象，仍需持续关注能否完成美联储主席鲍威尔所述的连续多月新增就业百万的 QE 缩减条件</w:t>
      </w:r>
      <w:r w:rsidR="00A22B3B" w:rsidRPr="00B311F6">
        <w:rPr>
          <w:rFonts w:asciiTheme="minorEastAsia" w:eastAsiaTheme="minorEastAsia" w:hAnsiTheme="minorEastAsia" w:hint="eastAsia"/>
          <w:sz w:val="28"/>
          <w:szCs w:val="28"/>
        </w:rPr>
        <w:t>。</w:t>
      </w:r>
      <w:r w:rsidR="00CA657D" w:rsidRPr="00C15F43">
        <w:rPr>
          <w:rFonts w:asciiTheme="minorEastAsia" w:eastAsiaTheme="minorEastAsia" w:hAnsiTheme="minorEastAsia" w:hint="eastAsia"/>
          <w:sz w:val="28"/>
          <w:szCs w:val="28"/>
        </w:rPr>
        <w:t>5月3日晚间，</w:t>
      </w:r>
      <w:r w:rsidR="00C15F43" w:rsidRPr="00CA657D">
        <w:rPr>
          <w:rFonts w:asciiTheme="minorEastAsia" w:eastAsiaTheme="minorEastAsia" w:hAnsiTheme="minorEastAsia" w:hint="eastAsia"/>
          <w:sz w:val="28"/>
          <w:szCs w:val="28"/>
        </w:rPr>
        <w:t>劳动力市场继续加速和增长的上升趋势，发布了自2020年9月以来最强劲的数据。</w:t>
      </w:r>
      <w:r w:rsidR="00CA657D" w:rsidRPr="00C15F43">
        <w:rPr>
          <w:rFonts w:asciiTheme="minorEastAsia" w:eastAsiaTheme="minorEastAsia" w:hAnsiTheme="minorEastAsia" w:hint="eastAsia"/>
          <w:sz w:val="28"/>
          <w:szCs w:val="28"/>
        </w:rPr>
        <w:t>美国公布的4月ADP就业人口增加74.2万，低于预期的增加87.3万，但仍创下2020年9月以来的新高。ADP历来有着小非农的称号，可以说是非农前的最后一个预演。</w:t>
      </w:r>
      <w:r w:rsidR="00CA657D" w:rsidRPr="00CA657D">
        <w:rPr>
          <w:rFonts w:asciiTheme="minorEastAsia" w:eastAsiaTheme="minorEastAsia" w:hAnsiTheme="minorEastAsia" w:hint="eastAsia"/>
          <w:sz w:val="28"/>
          <w:szCs w:val="28"/>
        </w:rPr>
        <w:t>随着经济重新开放、复苏和恢复正常活动，服务提供商受益最大，并在4月份引领就业增长。</w:t>
      </w:r>
    </w:p>
    <w:p w:rsidR="00DE22A1" w:rsidRDefault="00DE22A1" w:rsidP="00DE22A1">
      <w:pPr>
        <w:pStyle w:val="a"/>
      </w:pPr>
      <w:r>
        <w:t>美</w:t>
      </w:r>
      <w:r w:rsidR="006B6F4E">
        <w:rPr>
          <w:rFonts w:hint="eastAsia"/>
        </w:rPr>
        <w:t>国</w:t>
      </w:r>
      <w:r w:rsidR="006B6F4E">
        <w:t>失业率及劳动参与率</w:t>
      </w:r>
    </w:p>
    <w:p w:rsidR="00DE22A1" w:rsidRPr="00EF37DA" w:rsidRDefault="006B6F4E" w:rsidP="00DE22A1">
      <w:pPr>
        <w:pStyle w:val="a"/>
        <w:numPr>
          <w:ilvl w:val="0"/>
          <w:numId w:val="0"/>
        </w:numPr>
        <w:rPr>
          <w:kern w:val="0"/>
        </w:rPr>
      </w:pPr>
      <w:r>
        <w:rPr>
          <w:noProof/>
          <w:kern w:val="0"/>
        </w:rPr>
        <w:drawing>
          <wp:inline distT="0" distB="0" distL="0" distR="0">
            <wp:extent cx="4274654" cy="2335695"/>
            <wp:effectExtent l="19050" t="0" r="0" b="0"/>
            <wp:docPr id="17" name="图片 6" descr="C:\Users\WUYAOZ~1\AppData\Local\Temp\162028963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WUYAOZ~1\AppData\Local\Temp\1620289635(1).png"/>
                    <pic:cNvPicPr>
                      <a:picLocks noChangeAspect="1" noChangeArrowheads="1"/>
                    </pic:cNvPicPr>
                  </pic:nvPicPr>
                  <pic:blipFill>
                    <a:blip r:embed="rId13"/>
                    <a:srcRect/>
                    <a:stretch>
                      <a:fillRect/>
                    </a:stretch>
                  </pic:blipFill>
                  <pic:spPr bwMode="auto">
                    <a:xfrm>
                      <a:off x="0" y="0"/>
                      <a:ext cx="4274352" cy="2335530"/>
                    </a:xfrm>
                    <a:prstGeom prst="rect">
                      <a:avLst/>
                    </a:prstGeom>
                    <a:noFill/>
                    <a:ln w="9525">
                      <a:noFill/>
                      <a:miter lim="800000"/>
                      <a:headEnd/>
                      <a:tailEnd/>
                    </a:ln>
                  </pic:spPr>
                </pic:pic>
              </a:graphicData>
            </a:graphic>
          </wp:inline>
        </w:drawing>
      </w:r>
    </w:p>
    <w:p w:rsidR="00DE22A1" w:rsidRPr="004458E1" w:rsidRDefault="00DE22A1" w:rsidP="00DE22A1">
      <w:pPr>
        <w:pStyle w:val="a"/>
        <w:numPr>
          <w:ilvl w:val="0"/>
          <w:numId w:val="0"/>
        </w:numPr>
        <w:ind w:firstLineChars="2650" w:firstLine="5565"/>
        <w:rPr>
          <w:noProof/>
          <w:kern w:val="0"/>
        </w:rPr>
      </w:pPr>
      <w:r>
        <w:rPr>
          <w:rFonts w:hint="eastAsia"/>
          <w:noProof/>
          <w:kern w:val="0"/>
        </w:rPr>
        <w:t>数据来源：民生期货、</w:t>
      </w:r>
      <w:r>
        <w:rPr>
          <w:rFonts w:hint="eastAsia"/>
          <w:noProof/>
          <w:kern w:val="0"/>
        </w:rPr>
        <w:t>WIND</w:t>
      </w:r>
    </w:p>
    <w:p w:rsidR="00E56EF9" w:rsidRDefault="00EF37DA" w:rsidP="00E56EF9">
      <w:pPr>
        <w:pStyle w:val="a"/>
        <w:numPr>
          <w:ilvl w:val="0"/>
          <w:numId w:val="0"/>
        </w:numPr>
        <w:ind w:firstLineChars="200" w:firstLine="562"/>
        <w:rPr>
          <w:rFonts w:asciiTheme="minorEastAsia" w:eastAsiaTheme="minorEastAsia" w:hAnsiTheme="minorEastAsia"/>
          <w:b/>
          <w:sz w:val="28"/>
          <w:szCs w:val="28"/>
        </w:rPr>
      </w:pPr>
      <w:r w:rsidRPr="00EF37DA">
        <w:rPr>
          <w:rFonts w:asciiTheme="minorEastAsia" w:eastAsiaTheme="minorEastAsia" w:hAnsiTheme="minorEastAsia"/>
          <w:b/>
          <w:sz w:val="28"/>
          <w:szCs w:val="28"/>
        </w:rPr>
        <w:t>美国</w:t>
      </w:r>
      <w:r w:rsidR="00DE22A1">
        <w:rPr>
          <w:rFonts w:asciiTheme="minorEastAsia" w:eastAsiaTheme="minorEastAsia" w:hAnsiTheme="minorEastAsia"/>
          <w:b/>
          <w:sz w:val="28"/>
          <w:szCs w:val="28"/>
        </w:rPr>
        <w:t xml:space="preserve"> </w:t>
      </w:r>
      <w:r w:rsidRPr="00EF37DA">
        <w:rPr>
          <w:rFonts w:asciiTheme="minorEastAsia" w:eastAsiaTheme="minorEastAsia" w:hAnsiTheme="minorEastAsia"/>
          <w:b/>
          <w:sz w:val="28"/>
          <w:szCs w:val="28"/>
        </w:rPr>
        <w:t xml:space="preserve">CPI </w:t>
      </w:r>
      <w:r w:rsidR="00DE22A1">
        <w:rPr>
          <w:rFonts w:asciiTheme="minorEastAsia" w:eastAsiaTheme="minorEastAsia" w:hAnsiTheme="minorEastAsia" w:hint="eastAsia"/>
          <w:b/>
          <w:sz w:val="28"/>
          <w:szCs w:val="28"/>
        </w:rPr>
        <w:t>上涨</w:t>
      </w:r>
      <w:r w:rsidR="00EC334C">
        <w:rPr>
          <w:rFonts w:asciiTheme="minorEastAsia" w:eastAsiaTheme="minorEastAsia" w:hAnsiTheme="minorEastAsia"/>
          <w:b/>
          <w:sz w:val="28"/>
          <w:szCs w:val="28"/>
        </w:rPr>
        <w:t>压力</w:t>
      </w:r>
      <w:r w:rsidR="00EC334C">
        <w:rPr>
          <w:rFonts w:asciiTheme="minorEastAsia" w:eastAsiaTheme="minorEastAsia" w:hAnsiTheme="minorEastAsia" w:hint="eastAsia"/>
          <w:b/>
          <w:sz w:val="28"/>
          <w:szCs w:val="28"/>
        </w:rPr>
        <w:t>加大</w:t>
      </w:r>
    </w:p>
    <w:p w:rsidR="004061C5" w:rsidRPr="00C15F43" w:rsidRDefault="00E56EF9" w:rsidP="00B311F6">
      <w:pPr>
        <w:pStyle w:val="a"/>
        <w:numPr>
          <w:ilvl w:val="0"/>
          <w:numId w:val="0"/>
        </w:numPr>
        <w:ind w:firstLineChars="200" w:firstLine="560"/>
        <w:rPr>
          <w:rFonts w:asciiTheme="minorEastAsia" w:eastAsiaTheme="minorEastAsia" w:hAnsiTheme="minorEastAsia" w:cs="宋体"/>
          <w:kern w:val="0"/>
          <w:sz w:val="28"/>
          <w:szCs w:val="28"/>
        </w:rPr>
      </w:pPr>
      <w:r w:rsidRPr="004F718B">
        <w:rPr>
          <w:rFonts w:asciiTheme="minorEastAsia" w:eastAsiaTheme="minorEastAsia" w:hAnsiTheme="minorEastAsia"/>
          <w:sz w:val="28"/>
          <w:szCs w:val="28"/>
        </w:rPr>
        <w:t>通胀方面，消费者物价指数（CPI）是从消费者的角度衡量消费</w:t>
      </w:r>
      <w:r w:rsidRPr="004F718B">
        <w:rPr>
          <w:rFonts w:asciiTheme="minorEastAsia" w:eastAsiaTheme="minorEastAsia" w:hAnsiTheme="minorEastAsia"/>
          <w:sz w:val="28"/>
          <w:szCs w:val="28"/>
        </w:rPr>
        <w:lastRenderedPageBreak/>
        <w:t>品和劳</w:t>
      </w:r>
      <w:r w:rsidRPr="00C15F43">
        <w:rPr>
          <w:rFonts w:asciiTheme="minorEastAsia" w:eastAsiaTheme="minorEastAsia" w:hAnsiTheme="minorEastAsia" w:cs="宋体"/>
          <w:kern w:val="0"/>
          <w:sz w:val="28"/>
          <w:szCs w:val="28"/>
        </w:rPr>
        <w:t>务价格变化的指标，</w:t>
      </w:r>
      <w:r w:rsidRPr="00C15F43">
        <w:rPr>
          <w:rFonts w:asciiTheme="minorEastAsia" w:eastAsiaTheme="minorEastAsia" w:hAnsiTheme="minorEastAsia" w:cs="宋体" w:hint="eastAsia"/>
          <w:kern w:val="0"/>
          <w:sz w:val="28"/>
          <w:szCs w:val="28"/>
        </w:rPr>
        <w:t>美国</w:t>
      </w:r>
      <w:r w:rsidRPr="00C15F43">
        <w:rPr>
          <w:rFonts w:asciiTheme="minorEastAsia" w:eastAsiaTheme="minorEastAsia" w:hAnsiTheme="minorEastAsia" w:cs="宋体"/>
          <w:kern w:val="0"/>
          <w:sz w:val="28"/>
          <w:szCs w:val="28"/>
        </w:rPr>
        <w:t>CPI主要用来衡量美国购买趋势变化和通货膨胀，如果指数比预期更高，则应认为美元强势，而如果指数比预期更低，则应认为美元弱势</w:t>
      </w:r>
      <w:r w:rsidRPr="00C15F43">
        <w:rPr>
          <w:rFonts w:asciiTheme="minorEastAsia" w:eastAsiaTheme="minorEastAsia" w:hAnsiTheme="minorEastAsia" w:cs="宋体" w:hint="eastAsia"/>
          <w:kern w:val="0"/>
          <w:sz w:val="28"/>
          <w:szCs w:val="28"/>
        </w:rPr>
        <w:t>，有利贵金属</w:t>
      </w:r>
      <w:r w:rsidRPr="00C15F43">
        <w:rPr>
          <w:rFonts w:asciiTheme="minorEastAsia" w:eastAsiaTheme="minorEastAsia" w:hAnsiTheme="minorEastAsia" w:cs="宋体"/>
          <w:kern w:val="0"/>
          <w:sz w:val="28"/>
          <w:szCs w:val="28"/>
        </w:rPr>
        <w:t>。</w:t>
      </w:r>
      <w:r w:rsidRPr="00C15F43">
        <w:rPr>
          <w:rFonts w:asciiTheme="minorEastAsia" w:eastAsiaTheme="minorEastAsia" w:hAnsiTheme="minorEastAsia" w:cs="宋体" w:hint="eastAsia"/>
          <w:kern w:val="0"/>
          <w:sz w:val="28"/>
          <w:szCs w:val="28"/>
        </w:rPr>
        <w:t>当前</w:t>
      </w:r>
      <w:r w:rsidRPr="00C15F43">
        <w:rPr>
          <w:rFonts w:asciiTheme="minorEastAsia" w:eastAsiaTheme="minorEastAsia" w:hAnsiTheme="minorEastAsia" w:cs="宋体"/>
          <w:kern w:val="0"/>
          <w:sz w:val="28"/>
          <w:szCs w:val="28"/>
        </w:rPr>
        <w:t>在低利率背景下市场流动性增强会提高通胀水平</w:t>
      </w:r>
      <w:r w:rsidRPr="00C15F43">
        <w:rPr>
          <w:rFonts w:asciiTheme="minorEastAsia" w:eastAsiaTheme="minorEastAsia" w:hAnsiTheme="minorEastAsia" w:cs="宋体" w:hint="eastAsia"/>
          <w:kern w:val="0"/>
          <w:sz w:val="28"/>
          <w:szCs w:val="28"/>
        </w:rPr>
        <w:t>。</w:t>
      </w:r>
      <w:r w:rsidR="00EC334C" w:rsidRPr="00C15F43">
        <w:rPr>
          <w:rFonts w:asciiTheme="minorEastAsia" w:eastAsiaTheme="minorEastAsia" w:hAnsiTheme="minorEastAsia" w:cs="宋体"/>
          <w:kern w:val="0"/>
          <w:sz w:val="28"/>
          <w:szCs w:val="28"/>
        </w:rPr>
        <w:t>美国 3 月 CPI 同比增长 2.6%创近 3 年来新高，核心 CPI 同比增长 1.6%均超出预期。其中能源分项同比增近 13%主要受到油价上涨提振，食物分项同比增 2.6%， 住房分项同比增 1.7%。另外美国 3 月 PPI 已连续 11 个月环比正增长，同比升 4.2%创近 9 年来新高，反映出通胀上行压力。</w:t>
      </w:r>
      <w:r w:rsidR="009711B5" w:rsidRPr="00C15F43">
        <w:rPr>
          <w:rFonts w:asciiTheme="minorEastAsia" w:eastAsiaTheme="minorEastAsia" w:hAnsiTheme="minorEastAsia" w:cs="宋体"/>
          <w:kern w:val="0"/>
          <w:sz w:val="28"/>
          <w:szCs w:val="28"/>
        </w:rPr>
        <w:t>美国4月PCE物价</w:t>
      </w:r>
      <w:r w:rsidR="00EC334C" w:rsidRPr="00C15F43">
        <w:rPr>
          <w:rFonts w:asciiTheme="minorEastAsia" w:eastAsiaTheme="minorEastAsia" w:hAnsiTheme="minorEastAsia" w:cs="宋体"/>
          <w:kern w:val="0"/>
          <w:sz w:val="28"/>
          <w:szCs w:val="28"/>
        </w:rPr>
        <w:t>信心</w:t>
      </w:r>
      <w:r w:rsidR="009711B5" w:rsidRPr="00C15F43">
        <w:rPr>
          <w:rFonts w:asciiTheme="minorEastAsia" w:eastAsiaTheme="minorEastAsia" w:hAnsiTheme="minorEastAsia" w:cs="宋体"/>
          <w:kern w:val="0"/>
          <w:sz w:val="28"/>
          <w:szCs w:val="28"/>
        </w:rPr>
        <w:t>指数同比超2%，创2018年7月以来最高；核心PCE物价指数亦逼近 2%，但主要为低基数效应贡献</w:t>
      </w:r>
      <w:r w:rsidR="00FA55A3" w:rsidRPr="00C15F43">
        <w:rPr>
          <w:rFonts w:asciiTheme="minorEastAsia" w:eastAsiaTheme="minorEastAsia" w:hAnsiTheme="minorEastAsia" w:cs="宋体"/>
          <w:kern w:val="0"/>
          <w:sz w:val="28"/>
          <w:szCs w:val="28"/>
        </w:rPr>
        <w:t>。</w:t>
      </w:r>
    </w:p>
    <w:p w:rsidR="004061C5" w:rsidRDefault="004061C5" w:rsidP="004061C5">
      <w:pPr>
        <w:pStyle w:val="a"/>
      </w:pPr>
      <w:r>
        <w:t>美</w:t>
      </w:r>
      <w:r>
        <w:rPr>
          <w:rFonts w:hint="eastAsia"/>
        </w:rPr>
        <w:t>国</w:t>
      </w:r>
      <w:r w:rsidR="009711B5">
        <w:rPr>
          <w:rFonts w:hint="eastAsia"/>
        </w:rPr>
        <w:t>PCE</w:t>
      </w:r>
      <w:r w:rsidR="009711B5">
        <w:rPr>
          <w:rFonts w:hint="eastAsia"/>
        </w:rPr>
        <w:t>物价</w:t>
      </w:r>
      <w:r>
        <w:rPr>
          <w:rFonts w:hint="eastAsia"/>
        </w:rPr>
        <w:t>数据</w:t>
      </w:r>
    </w:p>
    <w:p w:rsidR="004061C5" w:rsidRPr="00EF37DA" w:rsidRDefault="009711B5" w:rsidP="004061C5">
      <w:pPr>
        <w:pStyle w:val="a"/>
        <w:numPr>
          <w:ilvl w:val="0"/>
          <w:numId w:val="0"/>
        </w:numPr>
        <w:rPr>
          <w:kern w:val="0"/>
        </w:rPr>
      </w:pPr>
      <w:r>
        <w:rPr>
          <w:noProof/>
          <w:kern w:val="0"/>
        </w:rPr>
        <w:drawing>
          <wp:inline distT="0" distB="0" distL="0" distR="0">
            <wp:extent cx="4413802" cy="2888968"/>
            <wp:effectExtent l="19050" t="0" r="5798" b="0"/>
            <wp:docPr id="5" name="图片 2" descr="C:\Users\ADMINI~1.PC-\AppData\Local\Temp\162027681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1.PC-\AppData\Local\Temp\1620276813(1).png"/>
                    <pic:cNvPicPr>
                      <a:picLocks noChangeAspect="1" noChangeArrowheads="1"/>
                    </pic:cNvPicPr>
                  </pic:nvPicPr>
                  <pic:blipFill>
                    <a:blip r:embed="rId14"/>
                    <a:srcRect/>
                    <a:stretch>
                      <a:fillRect/>
                    </a:stretch>
                  </pic:blipFill>
                  <pic:spPr bwMode="auto">
                    <a:xfrm>
                      <a:off x="0" y="0"/>
                      <a:ext cx="4416009" cy="2890412"/>
                    </a:xfrm>
                    <a:prstGeom prst="rect">
                      <a:avLst/>
                    </a:prstGeom>
                    <a:noFill/>
                    <a:ln w="9525">
                      <a:noFill/>
                      <a:miter lim="800000"/>
                      <a:headEnd/>
                      <a:tailEnd/>
                    </a:ln>
                  </pic:spPr>
                </pic:pic>
              </a:graphicData>
            </a:graphic>
          </wp:inline>
        </w:drawing>
      </w:r>
    </w:p>
    <w:p w:rsidR="004061C5" w:rsidRPr="004458E1" w:rsidRDefault="004061C5" w:rsidP="004061C5">
      <w:pPr>
        <w:pStyle w:val="a"/>
        <w:numPr>
          <w:ilvl w:val="0"/>
          <w:numId w:val="0"/>
        </w:numPr>
        <w:ind w:firstLineChars="2650" w:firstLine="5565"/>
        <w:rPr>
          <w:noProof/>
          <w:kern w:val="0"/>
        </w:rPr>
      </w:pPr>
      <w:r>
        <w:rPr>
          <w:rFonts w:hint="eastAsia"/>
          <w:noProof/>
          <w:kern w:val="0"/>
        </w:rPr>
        <w:t>数据来源：民生期货、</w:t>
      </w:r>
      <w:r>
        <w:rPr>
          <w:rFonts w:hint="eastAsia"/>
          <w:noProof/>
          <w:kern w:val="0"/>
        </w:rPr>
        <w:t>WIND</w:t>
      </w:r>
    </w:p>
    <w:p w:rsidR="00777C46" w:rsidRPr="00777C46" w:rsidRDefault="00777C46" w:rsidP="000C718F">
      <w:pPr>
        <w:pStyle w:val="a"/>
        <w:numPr>
          <w:ilvl w:val="0"/>
          <w:numId w:val="0"/>
        </w:numPr>
        <w:ind w:leftChars="200" w:left="420"/>
        <w:rPr>
          <w:rFonts w:asciiTheme="minorEastAsia" w:eastAsiaTheme="minorEastAsia" w:hAnsiTheme="minorEastAsia"/>
          <w:b/>
          <w:sz w:val="28"/>
          <w:szCs w:val="28"/>
        </w:rPr>
      </w:pPr>
      <w:r w:rsidRPr="00777C46">
        <w:rPr>
          <w:rFonts w:asciiTheme="minorEastAsia" w:eastAsiaTheme="minorEastAsia" w:hAnsiTheme="minorEastAsia"/>
          <w:b/>
          <w:sz w:val="28"/>
          <w:szCs w:val="28"/>
        </w:rPr>
        <w:t>美联储</w:t>
      </w:r>
      <w:r w:rsidR="00780462">
        <w:rPr>
          <w:rFonts w:asciiTheme="minorEastAsia" w:eastAsiaTheme="minorEastAsia" w:hAnsiTheme="minorEastAsia"/>
          <w:b/>
          <w:sz w:val="28"/>
          <w:szCs w:val="28"/>
        </w:rPr>
        <w:t>表示</w:t>
      </w:r>
      <w:r w:rsidR="00780462" w:rsidRPr="00780462">
        <w:rPr>
          <w:rFonts w:asciiTheme="minorEastAsia" w:eastAsiaTheme="minorEastAsia" w:hAnsiTheme="minorEastAsia"/>
          <w:b/>
          <w:sz w:val="28"/>
          <w:szCs w:val="28"/>
        </w:rPr>
        <w:t>“尚未走出困境”</w:t>
      </w:r>
      <w:r w:rsidRPr="00777C46">
        <w:rPr>
          <w:rFonts w:asciiTheme="minorEastAsia" w:eastAsiaTheme="minorEastAsia" w:hAnsiTheme="minorEastAsia"/>
          <w:b/>
          <w:sz w:val="28"/>
          <w:szCs w:val="28"/>
        </w:rPr>
        <w:t xml:space="preserve"> </w:t>
      </w:r>
    </w:p>
    <w:p w:rsidR="00495D4E" w:rsidRPr="00C15F43" w:rsidRDefault="00B93777" w:rsidP="00495D4E">
      <w:pPr>
        <w:pStyle w:val="a"/>
        <w:numPr>
          <w:ilvl w:val="0"/>
          <w:numId w:val="0"/>
        </w:numPr>
        <w:ind w:firstLineChars="200" w:firstLine="560"/>
        <w:rPr>
          <w:rFonts w:asciiTheme="minorEastAsia" w:eastAsiaTheme="minorEastAsia" w:hAnsiTheme="minorEastAsia" w:cs="宋体"/>
          <w:kern w:val="0"/>
          <w:sz w:val="28"/>
          <w:szCs w:val="28"/>
        </w:rPr>
      </w:pPr>
      <w:r w:rsidRPr="00C15F43">
        <w:rPr>
          <w:rFonts w:asciiTheme="minorEastAsia" w:eastAsiaTheme="minorEastAsia" w:hAnsiTheme="minorEastAsia" w:cs="宋体" w:hint="eastAsia"/>
          <w:kern w:val="0"/>
          <w:sz w:val="28"/>
          <w:szCs w:val="28"/>
        </w:rPr>
        <w:lastRenderedPageBreak/>
        <w:t>美联储4月利率决议维持联邦基金利率不变，并维持每月至少1200亿美元的购债规模。美联储继续认为通胀率上升很大程度上是临时因素所致，暗示美联储官员没有对当前的情况感到忧虑。对经济前景风险的描述从“相当大的风险”调整为“风险仍存”，整体来看，美联储4月会议决议鸽派基调不变，对经济前景乐观态度也较前期提升</w:t>
      </w:r>
      <w:r w:rsidR="006C7D65" w:rsidRPr="00C15F43">
        <w:rPr>
          <w:rFonts w:asciiTheme="minorEastAsia" w:eastAsiaTheme="minorEastAsia" w:hAnsiTheme="minorEastAsia" w:cs="宋体"/>
          <w:kern w:val="0"/>
          <w:sz w:val="28"/>
          <w:szCs w:val="28"/>
        </w:rPr>
        <w:t>。</w:t>
      </w:r>
      <w:r w:rsidR="00495D4E" w:rsidRPr="00C15F43">
        <w:rPr>
          <w:rFonts w:asciiTheme="minorEastAsia" w:eastAsiaTheme="minorEastAsia" w:hAnsiTheme="minorEastAsia" w:cs="宋体"/>
          <w:kern w:val="0"/>
          <w:sz w:val="28"/>
          <w:szCs w:val="28"/>
        </w:rPr>
        <w:t>这事实上给出了美联储允许通胀短期超调的空间，在原油价格回升提振通胀预期、财政刺激以类似“直升机撒钱”的方式直接发放现金补助将助推消费回升提振通胀及供应链被切断受阻的情况下，第二季度出现短时高通胀是大概率事件，通胀预期仍有进一步上行的潜力。</w:t>
      </w:r>
    </w:p>
    <w:p w:rsidR="00780462" w:rsidRPr="00C15F43" w:rsidRDefault="00C15F43" w:rsidP="00C15F43">
      <w:pPr>
        <w:pStyle w:val="a"/>
        <w:numPr>
          <w:ilvl w:val="0"/>
          <w:numId w:val="0"/>
        </w:numPr>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kern w:val="0"/>
          <w:sz w:val="28"/>
          <w:szCs w:val="28"/>
        </w:rPr>
        <w:t>美联储主席鲍威尔</w:t>
      </w:r>
      <w:r w:rsidR="00780462" w:rsidRPr="00C15F43">
        <w:rPr>
          <w:rFonts w:asciiTheme="minorEastAsia" w:eastAsiaTheme="minorEastAsia" w:hAnsiTheme="minorEastAsia" w:cs="宋体"/>
          <w:kern w:val="0"/>
          <w:sz w:val="28"/>
          <w:szCs w:val="28"/>
        </w:rPr>
        <w:t xml:space="preserve">5 月 3 </w:t>
      </w:r>
      <w:r>
        <w:rPr>
          <w:rFonts w:asciiTheme="minorEastAsia" w:eastAsiaTheme="minorEastAsia" w:hAnsiTheme="minorEastAsia" w:cs="宋体"/>
          <w:kern w:val="0"/>
          <w:sz w:val="28"/>
          <w:szCs w:val="28"/>
        </w:rPr>
        <w:t>日</w:t>
      </w:r>
      <w:r w:rsidR="00780462" w:rsidRPr="00C15F43">
        <w:rPr>
          <w:rFonts w:asciiTheme="minorEastAsia" w:eastAsiaTheme="minorEastAsia" w:hAnsiTheme="minorEastAsia" w:cs="宋体"/>
          <w:kern w:val="0"/>
          <w:sz w:val="28"/>
          <w:szCs w:val="28"/>
        </w:rPr>
        <w:t>表示，美国经济状况有所好转，但“尚未走出困境”。 他还指出，即将出炉的美联储研究报告将显示受教育程度较低和上班族父母在新冠疫情 经济衰退期间遭受的不成比例的打击。此前美联储便表示希望在可预见的未来保持现行 的宽松货币政策，因此短期内美联储货币政策导向立刻改变的可能性相对较低。</w:t>
      </w:r>
    </w:p>
    <w:p w:rsidR="00657CEF" w:rsidRPr="00657CEF" w:rsidRDefault="00657CEF" w:rsidP="00777C46">
      <w:pPr>
        <w:pStyle w:val="a"/>
        <w:numPr>
          <w:ilvl w:val="0"/>
          <w:numId w:val="0"/>
        </w:numPr>
        <w:ind w:firstLineChars="200" w:firstLine="562"/>
        <w:rPr>
          <w:rFonts w:asciiTheme="minorEastAsia" w:eastAsiaTheme="minorEastAsia" w:hAnsiTheme="minorEastAsia"/>
          <w:b/>
          <w:sz w:val="28"/>
          <w:szCs w:val="28"/>
        </w:rPr>
      </w:pPr>
      <w:r w:rsidRPr="00657CEF">
        <w:rPr>
          <w:rFonts w:asciiTheme="minorEastAsia" w:eastAsiaTheme="minorEastAsia" w:hAnsiTheme="minorEastAsia"/>
          <w:b/>
          <w:sz w:val="28"/>
          <w:szCs w:val="28"/>
        </w:rPr>
        <w:t xml:space="preserve">美债10 </w:t>
      </w:r>
      <w:r w:rsidR="00E56EF9">
        <w:rPr>
          <w:rFonts w:asciiTheme="minorEastAsia" w:eastAsiaTheme="minorEastAsia" w:hAnsiTheme="minorEastAsia" w:hint="eastAsia"/>
          <w:b/>
          <w:sz w:val="28"/>
          <w:szCs w:val="28"/>
        </w:rPr>
        <w:t>年</w:t>
      </w:r>
      <w:r w:rsidR="0062538C">
        <w:rPr>
          <w:rFonts w:asciiTheme="minorEastAsia" w:eastAsiaTheme="minorEastAsia" w:hAnsiTheme="minorEastAsia"/>
          <w:b/>
          <w:sz w:val="28"/>
          <w:szCs w:val="28"/>
        </w:rPr>
        <w:t>收益率</w:t>
      </w:r>
      <w:r w:rsidR="00780462">
        <w:rPr>
          <w:rFonts w:asciiTheme="minorEastAsia" w:eastAsiaTheme="minorEastAsia" w:hAnsiTheme="minorEastAsia" w:hint="eastAsia"/>
          <w:b/>
          <w:sz w:val="28"/>
          <w:szCs w:val="28"/>
        </w:rPr>
        <w:t>继续上涨</w:t>
      </w:r>
    </w:p>
    <w:p w:rsidR="00657CEF" w:rsidRPr="00D10B8C" w:rsidRDefault="00657CEF" w:rsidP="00FF79D5">
      <w:pPr>
        <w:pStyle w:val="a"/>
        <w:numPr>
          <w:ilvl w:val="0"/>
          <w:numId w:val="0"/>
        </w:numPr>
        <w:ind w:firstLineChars="200" w:firstLine="560"/>
        <w:rPr>
          <w:rFonts w:asciiTheme="minorEastAsia" w:eastAsiaTheme="minorEastAsia" w:hAnsiTheme="minorEastAsia"/>
          <w:sz w:val="28"/>
          <w:szCs w:val="28"/>
        </w:rPr>
      </w:pPr>
      <w:r w:rsidRPr="0063202A">
        <w:rPr>
          <w:rFonts w:asciiTheme="minorEastAsia" w:eastAsiaTheme="minorEastAsia" w:hAnsiTheme="minorEastAsia"/>
          <w:sz w:val="28"/>
          <w:szCs w:val="28"/>
        </w:rPr>
        <w:t>美债期限利率倒挂被视作预测美国经济前景的重要观察指标。当市场普遍对经济前景预期乐观时，融资需求和通胀预期均会相应上升，此变化反映到债券期限利差的结果，就是长期利率与短期</w:t>
      </w:r>
      <w:r w:rsidR="0063202A">
        <w:rPr>
          <w:rFonts w:asciiTheme="minorEastAsia" w:eastAsiaTheme="minorEastAsia" w:hAnsiTheme="minorEastAsia"/>
          <w:sz w:val="28"/>
          <w:szCs w:val="28"/>
        </w:rPr>
        <w:t>利率间利差的扩大；反之</w:t>
      </w:r>
      <w:r w:rsidRPr="0063202A">
        <w:rPr>
          <w:rFonts w:asciiTheme="minorEastAsia" w:eastAsiaTheme="minorEastAsia" w:hAnsiTheme="minorEastAsia"/>
          <w:sz w:val="28"/>
          <w:szCs w:val="28"/>
        </w:rPr>
        <w:t>当经济前景预期变差时，甚至预期将出现衰退时，期限利差就会出现倒</w:t>
      </w:r>
      <w:r w:rsidR="00FF79D5">
        <w:rPr>
          <w:rFonts w:asciiTheme="minorEastAsia" w:eastAsiaTheme="minorEastAsia" w:hAnsiTheme="minorEastAsia"/>
          <w:sz w:val="28"/>
          <w:szCs w:val="28"/>
        </w:rPr>
        <w:t>挂局面</w:t>
      </w:r>
      <w:r w:rsidRPr="0063202A">
        <w:rPr>
          <w:rFonts w:asciiTheme="minorEastAsia" w:eastAsiaTheme="minorEastAsia" w:hAnsiTheme="minorEastAsia"/>
          <w:sz w:val="28"/>
          <w:szCs w:val="28"/>
        </w:rPr>
        <w:t>。</w:t>
      </w:r>
      <w:r w:rsidR="00B311F6" w:rsidRPr="00095B3F">
        <w:rPr>
          <w:rFonts w:asciiTheme="minorEastAsia" w:eastAsiaTheme="minorEastAsia" w:hAnsiTheme="minorEastAsia"/>
          <w:sz w:val="28"/>
          <w:szCs w:val="28"/>
        </w:rPr>
        <w:t>截止</w:t>
      </w:r>
      <w:r w:rsidR="00EC334C">
        <w:rPr>
          <w:rFonts w:asciiTheme="minorEastAsia" w:eastAsiaTheme="minorEastAsia" w:hAnsiTheme="minorEastAsia" w:hint="eastAsia"/>
          <w:sz w:val="28"/>
          <w:szCs w:val="28"/>
        </w:rPr>
        <w:t>4</w:t>
      </w:r>
      <w:r w:rsidR="00B311F6" w:rsidRPr="00095B3F">
        <w:rPr>
          <w:rFonts w:asciiTheme="minorEastAsia" w:eastAsiaTheme="minorEastAsia" w:hAnsiTheme="minorEastAsia"/>
          <w:sz w:val="28"/>
          <w:szCs w:val="28"/>
        </w:rPr>
        <w:t>月</w:t>
      </w:r>
      <w:r w:rsidR="00B311F6">
        <w:rPr>
          <w:rFonts w:asciiTheme="minorEastAsia" w:eastAsiaTheme="minorEastAsia" w:hAnsiTheme="minorEastAsia" w:hint="eastAsia"/>
          <w:sz w:val="28"/>
          <w:szCs w:val="28"/>
        </w:rPr>
        <w:t>底</w:t>
      </w:r>
      <w:r w:rsidR="00B311F6" w:rsidRPr="00095B3F">
        <w:rPr>
          <w:rFonts w:asciiTheme="minorEastAsia" w:eastAsiaTheme="minorEastAsia" w:hAnsiTheme="minorEastAsia"/>
          <w:sz w:val="28"/>
          <w:szCs w:val="28"/>
        </w:rPr>
        <w:t>，</w:t>
      </w:r>
      <w:r w:rsidR="00780462" w:rsidRPr="00C15F43">
        <w:rPr>
          <w:rFonts w:asciiTheme="minorEastAsia" w:eastAsiaTheme="minorEastAsia" w:hAnsiTheme="minorEastAsia"/>
          <w:sz w:val="28"/>
          <w:szCs w:val="28"/>
        </w:rPr>
        <w:t>1 年期美债收益率收于 0.05%，</w:t>
      </w:r>
      <w:r w:rsidR="00780462" w:rsidRPr="00C15F43">
        <w:rPr>
          <w:rFonts w:asciiTheme="minorEastAsia" w:eastAsiaTheme="minorEastAsia" w:hAnsiTheme="minorEastAsia"/>
          <w:sz w:val="28"/>
          <w:szCs w:val="28"/>
        </w:rPr>
        <w:lastRenderedPageBreak/>
        <w:t>较前一周下降 2BP。而 10 年期美债收益率上涨 7BP 至 1.65%。在欧洲方面，目前 20 年期与 30 年期公债收益率均从此前长</w:t>
      </w:r>
      <w:r w:rsidR="00C15F43">
        <w:rPr>
          <w:rFonts w:asciiTheme="minorEastAsia" w:eastAsiaTheme="minorEastAsia" w:hAnsiTheme="minorEastAsia"/>
          <w:sz w:val="28"/>
          <w:szCs w:val="28"/>
        </w:rPr>
        <w:t>时</w:t>
      </w:r>
      <w:r w:rsidR="00780462" w:rsidRPr="00C15F43">
        <w:rPr>
          <w:rFonts w:asciiTheme="minorEastAsia" w:eastAsiaTheme="minorEastAsia" w:hAnsiTheme="minorEastAsia"/>
          <w:sz w:val="28"/>
          <w:szCs w:val="28"/>
        </w:rPr>
        <w:t>间的负值恢复到正值</w:t>
      </w:r>
      <w:r w:rsidR="00EC334C" w:rsidRPr="00C15F43">
        <w:rPr>
          <w:rFonts w:asciiTheme="minorEastAsia" w:eastAsiaTheme="minorEastAsia" w:hAnsiTheme="minorEastAsia"/>
          <w:sz w:val="28"/>
          <w:szCs w:val="28"/>
        </w:rPr>
        <w:t>。</w:t>
      </w:r>
    </w:p>
    <w:p w:rsidR="008152C4" w:rsidRDefault="008152C4" w:rsidP="00FC44C0">
      <w:pPr>
        <w:pStyle w:val="a"/>
      </w:pPr>
      <w:r w:rsidRPr="00FC44C0">
        <w:t>美国</w:t>
      </w:r>
      <w:r w:rsidR="00780462">
        <w:rPr>
          <w:rFonts w:hint="eastAsia"/>
        </w:rPr>
        <w:t>国债收益率</w:t>
      </w:r>
    </w:p>
    <w:p w:rsidR="008152C4" w:rsidRPr="00D10B8C" w:rsidRDefault="00780462" w:rsidP="00D10B8C">
      <w:pPr>
        <w:pStyle w:val="a"/>
        <w:numPr>
          <w:ilvl w:val="0"/>
          <w:numId w:val="0"/>
        </w:numPr>
        <w:rPr>
          <w:kern w:val="0"/>
        </w:rPr>
      </w:pPr>
      <w:r>
        <w:rPr>
          <w:noProof/>
          <w:kern w:val="0"/>
        </w:rPr>
        <w:drawing>
          <wp:inline distT="0" distB="0" distL="0" distR="0">
            <wp:extent cx="4165324" cy="2445026"/>
            <wp:effectExtent l="19050" t="0" r="6626" b="0"/>
            <wp:docPr id="6" name="图片 1" descr="C:\Users\WUYAOZ~1\AppData\Local\Temp\162028917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UYAOZ~1\AppData\Local\Temp\1620289177(1).png"/>
                    <pic:cNvPicPr>
                      <a:picLocks noChangeAspect="1" noChangeArrowheads="1"/>
                    </pic:cNvPicPr>
                  </pic:nvPicPr>
                  <pic:blipFill>
                    <a:blip r:embed="rId15"/>
                    <a:srcRect/>
                    <a:stretch>
                      <a:fillRect/>
                    </a:stretch>
                  </pic:blipFill>
                  <pic:spPr bwMode="auto">
                    <a:xfrm>
                      <a:off x="0" y="0"/>
                      <a:ext cx="4165653" cy="2445219"/>
                    </a:xfrm>
                    <a:prstGeom prst="rect">
                      <a:avLst/>
                    </a:prstGeom>
                    <a:noFill/>
                    <a:ln w="9525">
                      <a:noFill/>
                      <a:miter lim="800000"/>
                      <a:headEnd/>
                      <a:tailEnd/>
                    </a:ln>
                  </pic:spPr>
                </pic:pic>
              </a:graphicData>
            </a:graphic>
          </wp:inline>
        </w:drawing>
      </w:r>
    </w:p>
    <w:p w:rsidR="00495D4E" w:rsidRPr="00495D4E" w:rsidRDefault="008152C4" w:rsidP="00495D4E">
      <w:pPr>
        <w:jc w:val="right"/>
        <w:rPr>
          <w:noProof/>
          <w:kern w:val="0"/>
        </w:rPr>
      </w:pPr>
      <w:r>
        <w:rPr>
          <w:rFonts w:hint="eastAsia"/>
          <w:noProof/>
          <w:kern w:val="0"/>
        </w:rPr>
        <w:t>数据来源：民生期货、</w:t>
      </w:r>
      <w:r>
        <w:rPr>
          <w:rFonts w:hint="eastAsia"/>
          <w:noProof/>
          <w:kern w:val="0"/>
        </w:rPr>
        <w:t>WIND</w:t>
      </w:r>
    </w:p>
    <w:p w:rsidR="00495D4E" w:rsidRPr="00495D4E" w:rsidRDefault="00495D4E" w:rsidP="00495D4E">
      <w:pPr>
        <w:pStyle w:val="a"/>
        <w:numPr>
          <w:ilvl w:val="0"/>
          <w:numId w:val="0"/>
        </w:numPr>
        <w:ind w:firstLineChars="200" w:firstLine="562"/>
        <w:rPr>
          <w:rFonts w:asciiTheme="minorEastAsia" w:eastAsiaTheme="minorEastAsia" w:hAnsiTheme="minorEastAsia"/>
          <w:b/>
          <w:sz w:val="28"/>
          <w:szCs w:val="28"/>
        </w:rPr>
      </w:pPr>
      <w:r w:rsidRPr="00495D4E">
        <w:rPr>
          <w:rFonts w:asciiTheme="minorEastAsia" w:eastAsiaTheme="minorEastAsia" w:hAnsiTheme="minorEastAsia"/>
          <w:b/>
          <w:sz w:val="28"/>
          <w:szCs w:val="28"/>
        </w:rPr>
        <w:t>美国多个行业供应链切断受限</w:t>
      </w:r>
    </w:p>
    <w:p w:rsidR="00777C46" w:rsidRPr="00B311F6" w:rsidRDefault="00495D4E" w:rsidP="00C15F43">
      <w:pPr>
        <w:pStyle w:val="a"/>
        <w:numPr>
          <w:ilvl w:val="0"/>
          <w:numId w:val="0"/>
        </w:numPr>
        <w:ind w:firstLineChars="200" w:firstLine="560"/>
        <w:rPr>
          <w:rFonts w:asciiTheme="minorEastAsia" w:eastAsiaTheme="minorEastAsia" w:hAnsiTheme="minorEastAsia"/>
          <w:sz w:val="28"/>
          <w:szCs w:val="28"/>
        </w:rPr>
      </w:pPr>
      <w:r w:rsidRPr="00C15F43">
        <w:rPr>
          <w:rFonts w:asciiTheme="minorEastAsia" w:eastAsiaTheme="minorEastAsia" w:hAnsiTheme="minorEastAsia"/>
          <w:sz w:val="28"/>
          <w:szCs w:val="28"/>
        </w:rPr>
        <w:t>美国多个行业出现供应短缺问题</w:t>
      </w:r>
      <w:r w:rsidRPr="00C15F43">
        <w:rPr>
          <w:rFonts w:asciiTheme="minorEastAsia" w:eastAsiaTheme="minorEastAsia" w:hAnsiTheme="minorEastAsia" w:hint="eastAsia"/>
          <w:sz w:val="28"/>
          <w:szCs w:val="28"/>
        </w:rPr>
        <w:t>，</w:t>
      </w:r>
      <w:r w:rsidRPr="00C15F43">
        <w:rPr>
          <w:rFonts w:asciiTheme="minorEastAsia" w:eastAsiaTheme="minorEastAsia" w:hAnsiTheme="minorEastAsia"/>
          <w:sz w:val="28"/>
          <w:szCs w:val="28"/>
        </w:rPr>
        <w:t>美联储</w:t>
      </w:r>
      <w:r w:rsidR="00C15F43">
        <w:rPr>
          <w:rFonts w:asciiTheme="minorEastAsia" w:eastAsiaTheme="minorEastAsia" w:hAnsiTheme="minorEastAsia"/>
          <w:sz w:val="28"/>
          <w:szCs w:val="28"/>
        </w:rPr>
        <w:t xml:space="preserve"> 4</w:t>
      </w:r>
      <w:r w:rsidRPr="00C15F43">
        <w:rPr>
          <w:rFonts w:asciiTheme="minorEastAsia" w:eastAsiaTheme="minorEastAsia" w:hAnsiTheme="minorEastAsia"/>
          <w:sz w:val="28"/>
          <w:szCs w:val="28"/>
        </w:rPr>
        <w:t>月发布的褐皮书中突出了美国的劳动力和供应短缺问题，其中汽车行业面临半导体材料短缺问题导致库存下降。另外招工难的问题依然 存在，尤其是在低收入群体和临时工群体中，整体物价水平在调查中显示出现了上涨。</w:t>
      </w:r>
    </w:p>
    <w:p w:rsidR="004061C5" w:rsidRDefault="00EC334C" w:rsidP="004061C5">
      <w:pPr>
        <w:pStyle w:val="a"/>
        <w:numPr>
          <w:ilvl w:val="0"/>
          <w:numId w:val="0"/>
        </w:numPr>
        <w:ind w:firstLineChars="200" w:firstLine="562"/>
        <w:rPr>
          <w:rFonts w:asciiTheme="minorEastAsia" w:eastAsiaTheme="minorEastAsia" w:hAnsiTheme="minorEastAsia"/>
          <w:b/>
          <w:sz w:val="28"/>
          <w:szCs w:val="28"/>
        </w:rPr>
      </w:pPr>
      <w:r>
        <w:rPr>
          <w:rFonts w:asciiTheme="minorEastAsia" w:eastAsiaTheme="minorEastAsia" w:hAnsiTheme="minorEastAsia"/>
          <w:b/>
          <w:sz w:val="28"/>
          <w:szCs w:val="28"/>
        </w:rPr>
        <w:t xml:space="preserve"> </w:t>
      </w:r>
      <w:r w:rsidR="00831E8B">
        <w:rPr>
          <w:rFonts w:asciiTheme="minorEastAsia" w:eastAsiaTheme="minorEastAsia" w:hAnsiTheme="minorEastAsia"/>
          <w:b/>
          <w:sz w:val="28"/>
          <w:szCs w:val="28"/>
        </w:rPr>
        <w:t>“</w:t>
      </w:r>
      <w:r w:rsidR="00B93777" w:rsidRPr="00B93777">
        <w:rPr>
          <w:rFonts w:asciiTheme="minorEastAsia" w:eastAsiaTheme="minorEastAsia" w:hAnsiTheme="minorEastAsia" w:hint="eastAsia"/>
          <w:b/>
          <w:sz w:val="28"/>
          <w:szCs w:val="28"/>
        </w:rPr>
        <w:t>美国家庭计划”细节</w:t>
      </w:r>
      <w:r w:rsidR="00B93777">
        <w:rPr>
          <w:rFonts w:asciiTheme="minorEastAsia" w:eastAsiaTheme="minorEastAsia" w:hAnsiTheme="minorEastAsia" w:hint="eastAsia"/>
          <w:b/>
          <w:sz w:val="28"/>
          <w:szCs w:val="28"/>
        </w:rPr>
        <w:t>公布</w:t>
      </w:r>
    </w:p>
    <w:p w:rsidR="004061C5" w:rsidRPr="00B311F6" w:rsidRDefault="00B93777" w:rsidP="00B93777">
      <w:pPr>
        <w:pStyle w:val="a"/>
        <w:numPr>
          <w:ilvl w:val="0"/>
          <w:numId w:val="0"/>
        </w:numPr>
        <w:ind w:firstLineChars="200" w:firstLine="560"/>
        <w:rPr>
          <w:rFonts w:asciiTheme="minorEastAsia" w:eastAsiaTheme="minorEastAsia" w:hAnsiTheme="minorEastAsia"/>
          <w:sz w:val="28"/>
          <w:szCs w:val="28"/>
        </w:rPr>
      </w:pPr>
      <w:r w:rsidRPr="00B93777">
        <w:rPr>
          <w:rFonts w:asciiTheme="minorEastAsia" w:eastAsiaTheme="minorEastAsia" w:hAnsiTheme="minorEastAsia" w:hint="eastAsia"/>
          <w:sz w:val="28"/>
          <w:szCs w:val="28"/>
        </w:rPr>
        <w:t>美东时间4月28日，白宫在官网公布了拜登1.8万亿美元“美国家庭计划”细节，包括大约1万亿美元的投资以及为美国家庭和劳</w:t>
      </w:r>
      <w:r w:rsidRPr="00B93777">
        <w:rPr>
          <w:rFonts w:asciiTheme="minorEastAsia" w:eastAsiaTheme="minorEastAsia" w:hAnsiTheme="minorEastAsia" w:hint="eastAsia"/>
          <w:sz w:val="28"/>
          <w:szCs w:val="28"/>
        </w:rPr>
        <w:lastRenderedPageBreak/>
        <w:t>动者减税8000亿美元，涵盖教育、育儿、带薪休假和病假等诸多领域。该计划有利于提升家庭消费，带动零售增长</w:t>
      </w:r>
      <w:r w:rsidR="004061C5" w:rsidRPr="00B311F6">
        <w:rPr>
          <w:rFonts w:asciiTheme="minorEastAsia" w:eastAsiaTheme="minorEastAsia" w:hAnsiTheme="minorEastAsia"/>
          <w:sz w:val="28"/>
          <w:szCs w:val="28"/>
        </w:rPr>
        <w:t>。</w:t>
      </w:r>
    </w:p>
    <w:p w:rsidR="00B93777" w:rsidRPr="00B93777" w:rsidRDefault="00B93777" w:rsidP="00B93777">
      <w:pPr>
        <w:pStyle w:val="a"/>
        <w:numPr>
          <w:ilvl w:val="0"/>
          <w:numId w:val="0"/>
        </w:numPr>
        <w:ind w:firstLineChars="200" w:firstLine="562"/>
        <w:rPr>
          <w:rFonts w:asciiTheme="minorEastAsia" w:eastAsiaTheme="minorEastAsia" w:hAnsiTheme="minorEastAsia"/>
          <w:b/>
          <w:sz w:val="28"/>
          <w:szCs w:val="28"/>
        </w:rPr>
      </w:pPr>
      <w:r w:rsidRPr="00B93777">
        <w:rPr>
          <w:rFonts w:asciiTheme="minorEastAsia" w:eastAsiaTheme="minorEastAsia" w:hAnsiTheme="minorEastAsia" w:hint="eastAsia"/>
          <w:b/>
          <w:sz w:val="28"/>
          <w:szCs w:val="28"/>
        </w:rPr>
        <w:t>欧美疫情有所好转</w:t>
      </w:r>
    </w:p>
    <w:p w:rsidR="00B93777" w:rsidRPr="00C15F43" w:rsidRDefault="0047510C" w:rsidP="00C15F43">
      <w:pPr>
        <w:pStyle w:val="ac"/>
        <w:shd w:val="clear" w:color="auto" w:fill="FFFFFF"/>
        <w:spacing w:before="250" w:line="480" w:lineRule="atLeast"/>
        <w:ind w:firstLine="480"/>
        <w:jc w:val="both"/>
        <w:rPr>
          <w:rFonts w:asciiTheme="minorEastAsia" w:eastAsiaTheme="minorEastAsia" w:hAnsiTheme="minorEastAsia" w:cs="Times New Roman"/>
          <w:kern w:val="2"/>
          <w:sz w:val="28"/>
          <w:szCs w:val="28"/>
        </w:rPr>
      </w:pPr>
      <w:r w:rsidRPr="009711B5">
        <w:rPr>
          <w:rFonts w:asciiTheme="minorEastAsia" w:eastAsiaTheme="minorEastAsia" w:hAnsiTheme="minorEastAsia"/>
          <w:sz w:val="28"/>
          <w:szCs w:val="28"/>
        </w:rPr>
        <w:t>截至5月1日，</w:t>
      </w:r>
      <w:r w:rsidR="009711B5" w:rsidRPr="00B93777">
        <w:rPr>
          <w:rFonts w:asciiTheme="minorEastAsia" w:eastAsiaTheme="minorEastAsia" w:hAnsiTheme="minorEastAsia" w:hint="eastAsia"/>
          <w:sz w:val="28"/>
          <w:szCs w:val="28"/>
        </w:rPr>
        <w:t>全球新增新冠确诊病例仍处于较高水平，欧美疫情较高峰时</w:t>
      </w:r>
      <w:r w:rsidR="009711B5" w:rsidRPr="00C15F43">
        <w:rPr>
          <w:rFonts w:asciiTheme="minorEastAsia" w:eastAsiaTheme="minorEastAsia" w:hAnsiTheme="minorEastAsia" w:cs="Times New Roman" w:hint="eastAsia"/>
          <w:kern w:val="2"/>
          <w:sz w:val="28"/>
          <w:szCs w:val="28"/>
        </w:rPr>
        <w:t>期出现较大好转，每日新增病例数较高峰时期大幅下降，欧美疫情出现好转迹象，欧美制造业活动有所好转，提振市场对全球经济复苏的乐观信心，美国单日新增确诊病例较高峰期有所好转，但每日仍有数万人感染。</w:t>
      </w:r>
      <w:r w:rsidR="00CA657D" w:rsidRPr="00C15F43">
        <w:rPr>
          <w:rFonts w:asciiTheme="minorEastAsia" w:eastAsiaTheme="minorEastAsia" w:hAnsiTheme="minorEastAsia" w:cs="Times New Roman" w:hint="eastAsia"/>
          <w:kern w:val="2"/>
          <w:sz w:val="28"/>
          <w:szCs w:val="28"/>
        </w:rPr>
        <w:t>新冠疫苗接种持续推进，</w:t>
      </w:r>
      <w:r w:rsidR="00CA657D" w:rsidRPr="00C15F43">
        <w:rPr>
          <w:rFonts w:asciiTheme="minorEastAsia" w:eastAsiaTheme="minorEastAsia" w:hAnsiTheme="minorEastAsia" w:cs="Times New Roman"/>
          <w:kern w:val="2"/>
          <w:sz w:val="28"/>
          <w:szCs w:val="28"/>
        </w:rPr>
        <w:t>截至4月29日，英、美疫苗接种维持高速增长，美国已接近赶超英国，每百人接种数超过 70剂。</w:t>
      </w:r>
      <w:r w:rsidR="009711B5" w:rsidRPr="00C15F43">
        <w:rPr>
          <w:rFonts w:asciiTheme="minorEastAsia" w:eastAsiaTheme="minorEastAsia" w:hAnsiTheme="minorEastAsia" w:cs="Times New Roman" w:hint="eastAsia"/>
          <w:kern w:val="2"/>
          <w:sz w:val="28"/>
          <w:szCs w:val="28"/>
        </w:rPr>
        <w:t>欧洲疫情较高峰期整体好转，不过部分国家确诊人数仍维持高位。在变异新冠病毒影响下，疫情形势仍然很复杂。</w:t>
      </w:r>
      <w:r w:rsidRPr="00C15F43">
        <w:rPr>
          <w:rFonts w:asciiTheme="minorEastAsia" w:eastAsiaTheme="minorEastAsia" w:hAnsiTheme="minorEastAsia" w:cs="Times New Roman"/>
          <w:kern w:val="2"/>
          <w:sz w:val="28"/>
          <w:szCs w:val="28"/>
        </w:rPr>
        <w:t>目前仅剩印度、伊朗、巴西等国新增病例维持偏高</w:t>
      </w:r>
      <w:r w:rsidR="009711B5" w:rsidRPr="00C15F43">
        <w:rPr>
          <w:rFonts w:asciiTheme="minorEastAsia" w:eastAsiaTheme="minorEastAsia" w:hAnsiTheme="minorEastAsia" w:cs="Times New Roman" w:hint="eastAsia"/>
          <w:kern w:val="2"/>
          <w:sz w:val="28"/>
          <w:szCs w:val="28"/>
        </w:rPr>
        <w:t>数据</w:t>
      </w:r>
      <w:r w:rsidRPr="00C15F43">
        <w:rPr>
          <w:rFonts w:asciiTheme="minorEastAsia" w:eastAsiaTheme="minorEastAsia" w:hAnsiTheme="minorEastAsia" w:cs="Times New Roman"/>
          <w:kern w:val="2"/>
          <w:sz w:val="28"/>
          <w:szCs w:val="28"/>
        </w:rPr>
        <w:t>。</w:t>
      </w:r>
      <w:r w:rsidR="009711B5" w:rsidRPr="00C15F43">
        <w:rPr>
          <w:rFonts w:asciiTheme="minorEastAsia" w:eastAsiaTheme="minorEastAsia" w:hAnsiTheme="minorEastAsia" w:cs="Times New Roman" w:hint="eastAsia"/>
          <w:kern w:val="2"/>
          <w:sz w:val="28"/>
          <w:szCs w:val="28"/>
        </w:rPr>
        <w:t>其中印度近期疫情呈爆发式增长，总数接近1800万例。</w:t>
      </w:r>
      <w:r w:rsidR="00CA657D" w:rsidRPr="00C15F43">
        <w:rPr>
          <w:rFonts w:asciiTheme="minorEastAsia" w:eastAsiaTheme="minorEastAsia" w:hAnsiTheme="minorEastAsia" w:cs="Times New Roman" w:hint="eastAsia"/>
          <w:kern w:val="2"/>
          <w:sz w:val="28"/>
          <w:szCs w:val="28"/>
        </w:rPr>
        <w:t>印度权威医学研究和临床机构全印医学科学研究所主任兰迪普·古雷利亚(Randeep Guleria)在接受当地媒体采访时也表示，如果政府不积极采取中长期的封锁措施，印度很有可能遭遇第三波疫情。古雷利亚同时警告称，如果病毒进一步突变且发展出免疫逃逸机制，那么情况可能会更进一步恶化。</w:t>
      </w:r>
      <w:r w:rsidR="00CA657D" w:rsidRPr="00CA657D">
        <w:rPr>
          <w:rFonts w:asciiTheme="minorEastAsia" w:eastAsiaTheme="minorEastAsia" w:hAnsiTheme="minorEastAsia" w:cs="Times New Roman" w:hint="eastAsia"/>
          <w:kern w:val="2"/>
          <w:sz w:val="28"/>
          <w:szCs w:val="28"/>
        </w:rPr>
        <w:t>当前印度正在经历第二波疫情</w:t>
      </w:r>
      <w:r w:rsidR="00CA657D" w:rsidRPr="00C15F43">
        <w:rPr>
          <w:rFonts w:asciiTheme="minorEastAsia" w:eastAsiaTheme="minorEastAsia" w:hAnsiTheme="minorEastAsia" w:cs="Times New Roman" w:hint="eastAsia"/>
          <w:kern w:val="2"/>
          <w:sz w:val="28"/>
          <w:szCs w:val="28"/>
        </w:rPr>
        <w:t>，</w:t>
      </w:r>
      <w:r w:rsidR="00CA657D" w:rsidRPr="00CA657D">
        <w:rPr>
          <w:rFonts w:asciiTheme="minorEastAsia" w:eastAsiaTheme="minorEastAsia" w:hAnsiTheme="minorEastAsia" w:cs="Times New Roman" w:hint="eastAsia"/>
          <w:kern w:val="2"/>
          <w:sz w:val="28"/>
          <w:szCs w:val="28"/>
        </w:rPr>
        <w:t>截至当地时间5月5日8时，过去24小时内，印度新增新冠肺炎确诊病例超38万例，单日新增已经连续14天保持在30万例以上，累计确诊超2066万例;新增死亡病例3780例，单日死亡病例再创疫情暴发以来新高，累计死亡超22.6万例。</w:t>
      </w:r>
    </w:p>
    <w:p w:rsidR="00CA657D" w:rsidRPr="00CA657D" w:rsidRDefault="00CA657D" w:rsidP="00CA657D">
      <w:pPr>
        <w:pStyle w:val="a"/>
        <w:numPr>
          <w:ilvl w:val="0"/>
          <w:numId w:val="0"/>
        </w:numPr>
        <w:ind w:firstLineChars="200" w:firstLine="562"/>
        <w:rPr>
          <w:rFonts w:asciiTheme="minorEastAsia" w:eastAsiaTheme="minorEastAsia" w:hAnsiTheme="minorEastAsia"/>
          <w:b/>
          <w:sz w:val="28"/>
          <w:szCs w:val="28"/>
        </w:rPr>
      </w:pPr>
      <w:r w:rsidRPr="00CA657D">
        <w:rPr>
          <w:rFonts w:asciiTheme="minorEastAsia" w:eastAsiaTheme="minorEastAsia" w:hAnsiTheme="minorEastAsia" w:hint="eastAsia"/>
          <w:b/>
          <w:sz w:val="28"/>
          <w:szCs w:val="28"/>
        </w:rPr>
        <w:lastRenderedPageBreak/>
        <w:t>耶伦试探性加息策略引爆市场</w:t>
      </w:r>
    </w:p>
    <w:p w:rsidR="00CA657D" w:rsidRPr="00C15F43" w:rsidRDefault="00CA657D" w:rsidP="00C15F43">
      <w:pPr>
        <w:pStyle w:val="ac"/>
        <w:shd w:val="clear" w:color="auto" w:fill="FFFFFF"/>
        <w:spacing w:before="250" w:line="480" w:lineRule="atLeast"/>
        <w:ind w:firstLine="480"/>
        <w:jc w:val="both"/>
        <w:rPr>
          <w:rFonts w:asciiTheme="minorEastAsia" w:eastAsiaTheme="minorEastAsia" w:hAnsiTheme="minorEastAsia" w:cs="Times New Roman"/>
          <w:kern w:val="2"/>
          <w:sz w:val="28"/>
          <w:szCs w:val="28"/>
        </w:rPr>
      </w:pPr>
      <w:r w:rsidRPr="00C15F43">
        <w:rPr>
          <w:rFonts w:asciiTheme="minorEastAsia" w:eastAsiaTheme="minorEastAsia" w:hAnsiTheme="minorEastAsia" w:cs="Times New Roman" w:hint="eastAsia"/>
          <w:kern w:val="2"/>
          <w:sz w:val="28"/>
          <w:szCs w:val="28"/>
        </w:rPr>
        <w:t>5月4日，美联储前主席、现任美国财长耶伦的加息言论就重挫贵金属</w:t>
      </w:r>
      <w:r w:rsidRPr="00CA657D">
        <w:rPr>
          <w:rFonts w:asciiTheme="minorEastAsia" w:eastAsiaTheme="minorEastAsia" w:hAnsiTheme="minorEastAsia" w:cs="Times New Roman" w:hint="eastAsia"/>
          <w:kern w:val="2"/>
          <w:sz w:val="28"/>
          <w:szCs w:val="28"/>
        </w:rPr>
        <w:t>。在《大西洋月刊》(Atlantic)</w:t>
      </w:r>
      <w:r w:rsidRPr="00C15F43">
        <w:rPr>
          <w:rFonts w:asciiTheme="minorEastAsia" w:eastAsiaTheme="minorEastAsia" w:hAnsiTheme="minorEastAsia" w:cs="Times New Roman" w:hint="eastAsia"/>
          <w:kern w:val="2"/>
          <w:sz w:val="28"/>
          <w:szCs w:val="28"/>
        </w:rPr>
        <w:t>“未来经济峰会”一个预录的采访中，耶伦</w:t>
      </w:r>
      <w:r w:rsidRPr="00CA657D">
        <w:rPr>
          <w:rFonts w:asciiTheme="minorEastAsia" w:eastAsiaTheme="minorEastAsia" w:hAnsiTheme="minorEastAsia" w:cs="Times New Roman" w:hint="eastAsia"/>
          <w:kern w:val="2"/>
          <w:sz w:val="28"/>
          <w:szCs w:val="28"/>
        </w:rPr>
        <w:t>表示，如果拜登政府的支出计划得以实施，为了防止美国经济过热，美联储可能不得不加息。自去年3月新冠疫情在美国爆发以来，国会已经推出了大约5.3万亿美元的刺激措施，这使得2020财年美国的预算赤字超过3万亿美元，2021财年上半年的赤字达1.7万亿美元。</w:t>
      </w:r>
    </w:p>
    <w:p w:rsidR="000151FF" w:rsidRPr="000151FF" w:rsidRDefault="000151FF" w:rsidP="000151FF">
      <w:pPr>
        <w:ind w:firstLineChars="200" w:firstLine="562"/>
        <w:rPr>
          <w:rFonts w:asciiTheme="minorEastAsia" w:eastAsiaTheme="minorEastAsia" w:hAnsiTheme="minorEastAsia"/>
          <w:b/>
          <w:sz w:val="28"/>
          <w:szCs w:val="28"/>
        </w:rPr>
      </w:pPr>
      <w:r w:rsidRPr="000151FF">
        <w:rPr>
          <w:rFonts w:asciiTheme="minorEastAsia" w:eastAsiaTheme="minorEastAsia" w:hAnsiTheme="minorEastAsia"/>
          <w:b/>
          <w:sz w:val="28"/>
          <w:szCs w:val="28"/>
        </w:rPr>
        <w:t>地缘政治因素压力加大</w:t>
      </w:r>
    </w:p>
    <w:p w:rsidR="000151FF" w:rsidRPr="00C15F43" w:rsidRDefault="000151FF" w:rsidP="00C15F43">
      <w:pPr>
        <w:pStyle w:val="ac"/>
        <w:shd w:val="clear" w:color="auto" w:fill="FFFFFF"/>
        <w:spacing w:before="250" w:line="480" w:lineRule="atLeast"/>
        <w:ind w:firstLine="480"/>
        <w:jc w:val="both"/>
        <w:rPr>
          <w:rFonts w:asciiTheme="minorEastAsia" w:eastAsiaTheme="minorEastAsia" w:hAnsiTheme="minorEastAsia" w:cs="Times New Roman"/>
          <w:kern w:val="2"/>
          <w:sz w:val="28"/>
          <w:szCs w:val="28"/>
        </w:rPr>
      </w:pPr>
      <w:r w:rsidRPr="00C15F43">
        <w:rPr>
          <w:rFonts w:asciiTheme="minorEastAsia" w:eastAsiaTheme="minorEastAsia" w:hAnsiTheme="minorEastAsia" w:cs="Times New Roman"/>
          <w:kern w:val="2"/>
          <w:sz w:val="28"/>
          <w:szCs w:val="28"/>
        </w:rPr>
        <w:t>进入二季度，全球地缘政治格局压力有所增加，4 月中旬，美国总统拜登针对俄罗斯发起一系列制裁行动，包括财政部禁止美国金融机构参与俄罗斯一系列债券及基金投资，并宣布制裁 32个被指“实施俄罗斯政府的意图，企图影响美国 2020年大选、散播虚假信息及干涉美国内政”的实体及个人。此外，6 月 14 日起禁止银行购买新的俄罗斯国债。地缘政治局势趋于紧张，助推金银价格上涨。</w:t>
      </w:r>
    </w:p>
    <w:p w:rsidR="000151FF" w:rsidRPr="00C15F43" w:rsidRDefault="000151FF" w:rsidP="00C15F43">
      <w:pPr>
        <w:pStyle w:val="ac"/>
        <w:shd w:val="clear" w:color="auto" w:fill="FFFFFF"/>
        <w:spacing w:before="250" w:line="480" w:lineRule="atLeast"/>
        <w:ind w:firstLine="480"/>
        <w:jc w:val="both"/>
        <w:rPr>
          <w:rFonts w:asciiTheme="minorEastAsia" w:eastAsiaTheme="minorEastAsia" w:hAnsiTheme="minorEastAsia" w:cs="Times New Roman"/>
          <w:kern w:val="2"/>
          <w:sz w:val="28"/>
          <w:szCs w:val="28"/>
        </w:rPr>
      </w:pPr>
      <w:r w:rsidRPr="00C15F43">
        <w:rPr>
          <w:rFonts w:asciiTheme="minorEastAsia" w:eastAsiaTheme="minorEastAsia" w:hAnsiTheme="minorEastAsia" w:cs="Times New Roman"/>
          <w:kern w:val="2"/>
          <w:sz w:val="28"/>
          <w:szCs w:val="28"/>
        </w:rPr>
        <w:t xml:space="preserve">另外据参考消息援引俄罗斯《劳动报》报道，乌克 兰国防部宣布，俄罗斯已将 11 万兵力部署在了乌克兰和俄罗斯的边境。 </w:t>
      </w:r>
    </w:p>
    <w:p w:rsidR="00A84B93" w:rsidRPr="00A84B93" w:rsidRDefault="008E1DB3" w:rsidP="00A84B93">
      <w:pPr>
        <w:ind w:firstLineChars="200" w:firstLine="562"/>
        <w:rPr>
          <w:rFonts w:asciiTheme="minorEastAsia" w:eastAsiaTheme="minorEastAsia" w:hAnsiTheme="minorEastAsia"/>
          <w:b/>
          <w:sz w:val="28"/>
          <w:szCs w:val="28"/>
        </w:rPr>
      </w:pPr>
      <w:r>
        <w:rPr>
          <w:rFonts w:asciiTheme="minorEastAsia" w:eastAsiaTheme="minorEastAsia" w:hAnsiTheme="minorEastAsia"/>
          <w:b/>
          <w:sz w:val="28"/>
          <w:szCs w:val="28"/>
        </w:rPr>
        <w:t>中国经济</w:t>
      </w:r>
      <w:r>
        <w:rPr>
          <w:rFonts w:asciiTheme="minorEastAsia" w:eastAsiaTheme="minorEastAsia" w:hAnsiTheme="minorEastAsia" w:hint="eastAsia"/>
          <w:b/>
          <w:sz w:val="28"/>
          <w:szCs w:val="28"/>
        </w:rPr>
        <w:t>持续向好</w:t>
      </w:r>
    </w:p>
    <w:p w:rsidR="00831E8B" w:rsidRPr="00831E8B" w:rsidRDefault="00831E8B" w:rsidP="00C15F43">
      <w:pPr>
        <w:pStyle w:val="ac"/>
        <w:shd w:val="clear" w:color="auto" w:fill="FFFFFF"/>
        <w:spacing w:before="250" w:line="480" w:lineRule="atLeast"/>
        <w:ind w:firstLine="480"/>
        <w:jc w:val="both"/>
        <w:rPr>
          <w:rFonts w:asciiTheme="minorEastAsia" w:eastAsiaTheme="minorEastAsia" w:hAnsiTheme="minorEastAsia" w:cs="Times New Roman"/>
          <w:kern w:val="2"/>
          <w:sz w:val="28"/>
          <w:szCs w:val="28"/>
        </w:rPr>
      </w:pPr>
      <w:r w:rsidRPr="00831E8B">
        <w:rPr>
          <w:rFonts w:asciiTheme="minorEastAsia" w:eastAsiaTheme="minorEastAsia" w:hAnsiTheme="minorEastAsia" w:cs="Times New Roman" w:hint="eastAsia"/>
          <w:kern w:val="2"/>
          <w:sz w:val="28"/>
          <w:szCs w:val="28"/>
        </w:rPr>
        <w:t>一季度，我国济运行稳中加固、稳中向好，生产需求扩大，市场活力提升，投资和消费稳步复苏，国民经济持续稳定恢复。统计局公</w:t>
      </w:r>
      <w:r w:rsidRPr="00831E8B">
        <w:rPr>
          <w:rFonts w:asciiTheme="minorEastAsia" w:eastAsiaTheme="minorEastAsia" w:hAnsiTheme="minorEastAsia" w:cs="Times New Roman" w:hint="eastAsia"/>
          <w:kern w:val="2"/>
          <w:sz w:val="28"/>
          <w:szCs w:val="28"/>
        </w:rPr>
        <w:lastRenderedPageBreak/>
        <w:t>布数据显示，初步核算，一季度GDP同比增长18.3%，比2020年四季度环比增长0.6%；比2019年一季度增长10.3%，两年平均增长5.0%。表明我国经济稳定恢复。</w:t>
      </w:r>
    </w:p>
    <w:p w:rsidR="008E1DB3" w:rsidRPr="00A00DFE" w:rsidRDefault="008E1DB3" w:rsidP="00C15F43">
      <w:pPr>
        <w:pStyle w:val="ac"/>
        <w:shd w:val="clear" w:color="auto" w:fill="FFFFFF"/>
        <w:spacing w:before="250" w:line="480" w:lineRule="atLeast"/>
        <w:ind w:firstLine="480"/>
        <w:jc w:val="both"/>
        <w:rPr>
          <w:rFonts w:asciiTheme="minorEastAsia" w:eastAsiaTheme="minorEastAsia" w:hAnsiTheme="minorEastAsia" w:cs="Times New Roman"/>
          <w:kern w:val="2"/>
          <w:sz w:val="28"/>
          <w:szCs w:val="28"/>
        </w:rPr>
      </w:pPr>
      <w:r w:rsidRPr="008E1DB3">
        <w:rPr>
          <w:rFonts w:asciiTheme="minorEastAsia" w:eastAsiaTheme="minorEastAsia" w:hAnsiTheme="minorEastAsia" w:cs="Times New Roman"/>
          <w:kern w:val="2"/>
          <w:sz w:val="28"/>
          <w:szCs w:val="28"/>
        </w:rPr>
        <w:t>国家统计局</w:t>
      </w:r>
      <w:r w:rsidRPr="008E1DB3">
        <w:rPr>
          <w:rFonts w:asciiTheme="minorEastAsia" w:eastAsiaTheme="minorEastAsia" w:hAnsiTheme="minorEastAsia" w:cs="Times New Roman" w:hint="eastAsia"/>
          <w:kern w:val="2"/>
          <w:sz w:val="28"/>
          <w:szCs w:val="28"/>
        </w:rPr>
        <w:t>4月16日消息，2021年一季度，全国固定资产投资（不含农户）95994亿元，同比增长25.6%；比2019年1—3月份增长6.0%，两年平均增长2.9%；经季节调整后与去年10—12月份环比增长2.06%。其中，民间固定资产投资55022亿元，同比增长26.0%。从环比看，3月份固定资产投资（不含农户）</w:t>
      </w:r>
      <w:r w:rsidRPr="00A00DFE">
        <w:rPr>
          <w:rFonts w:asciiTheme="minorEastAsia" w:eastAsiaTheme="minorEastAsia" w:hAnsiTheme="minorEastAsia" w:cs="Times New Roman" w:hint="eastAsia"/>
          <w:kern w:val="2"/>
          <w:sz w:val="28"/>
          <w:szCs w:val="28"/>
        </w:rPr>
        <w:t>增长1.51%</w:t>
      </w:r>
      <w:r w:rsidR="003A7B42" w:rsidRPr="00A00DFE">
        <w:rPr>
          <w:rFonts w:asciiTheme="minorEastAsia" w:eastAsiaTheme="minorEastAsia" w:hAnsiTheme="minorEastAsia" w:cs="Times New Roman"/>
          <w:kern w:val="2"/>
          <w:sz w:val="28"/>
          <w:szCs w:val="28"/>
        </w:rPr>
        <w:t>。</w:t>
      </w:r>
      <w:r w:rsidRPr="00A00DFE">
        <w:rPr>
          <w:rFonts w:asciiTheme="minorEastAsia" w:eastAsiaTheme="minorEastAsia" w:hAnsiTheme="minorEastAsia" w:cs="Times New Roman" w:hint="eastAsia"/>
          <w:kern w:val="2"/>
          <w:sz w:val="28"/>
          <w:szCs w:val="28"/>
        </w:rPr>
        <w:t>分产业看，第一产业投资2362亿元，同比增长45.9%；第二产业投资27929亿元，增长27.8%；第三产业投资65703亿元，增长24.1%。第二产业中，工业投资同比增长27.8%。其中，采矿业投资增长20.8%；制造业投资增长29.8%；电力、热力、燃气及水的生产和供应业投资增长20.0%。第三产业中，基础设施投资（不含电力、热力、燃气及水生产和供应业）同比增长29.7%。其中，水利管理业投资增长42.5%；公共设施管理业投资增长23.5%；道路运输业投资增长25.7%；铁路运输业投资增长66.6%。</w:t>
      </w:r>
    </w:p>
    <w:p w:rsidR="000A53EC" w:rsidRPr="00A00DFE" w:rsidRDefault="008E1DB3" w:rsidP="00C15F43">
      <w:pPr>
        <w:pStyle w:val="ac"/>
        <w:shd w:val="clear" w:color="auto" w:fill="FFFFFF"/>
        <w:spacing w:before="250" w:line="480" w:lineRule="atLeast"/>
        <w:ind w:firstLine="480"/>
        <w:jc w:val="both"/>
        <w:rPr>
          <w:rFonts w:asciiTheme="minorEastAsia" w:eastAsiaTheme="minorEastAsia" w:hAnsiTheme="minorEastAsia" w:cs="Times New Roman"/>
          <w:kern w:val="2"/>
          <w:sz w:val="28"/>
          <w:szCs w:val="28"/>
        </w:rPr>
      </w:pPr>
      <w:r w:rsidRPr="00A00DFE">
        <w:rPr>
          <w:rFonts w:asciiTheme="minorEastAsia" w:eastAsiaTheme="minorEastAsia" w:hAnsiTheme="minorEastAsia" w:cs="Times New Roman" w:hint="eastAsia"/>
          <w:kern w:val="2"/>
          <w:sz w:val="28"/>
          <w:szCs w:val="28"/>
        </w:rPr>
        <w:t>3月份，规模以上工业增加值同比实际增长14.1 %（以下增加值增速均为扣除价格因素的实际增长率）。从环比看，3月份，规模以上工业增加值比上月增长0.60%。一季度，规模以上工业增加值同比增长24.5%；比2019年同期增长14.0%，两年平均增长6.8%。分行业看，3月份，41个大类行业中有37个行业增加值保持同比增长。</w:t>
      </w:r>
      <w:r w:rsidRPr="00A00DFE">
        <w:rPr>
          <w:rFonts w:asciiTheme="minorEastAsia" w:eastAsiaTheme="minorEastAsia" w:hAnsiTheme="minorEastAsia" w:cs="Times New Roman" w:hint="eastAsia"/>
          <w:kern w:val="2"/>
          <w:sz w:val="28"/>
          <w:szCs w:val="28"/>
        </w:rPr>
        <w:lastRenderedPageBreak/>
        <w:t>农副食品加工业增长8.3%，纺织业增长7.5%，化学原料和化学制品制造业增长11.9%，非金属矿物制品业增长24.5%，黑色金属冶炼和压延加工业增长12.3%，有色金属冶炼和压延加工业增长5.9%，通用设备制造业增长20.2%，专用设备制造业增长17.9%，汽车制造业增长40.4%，铁路、船舶、航空航天和其他运输设备制造业增长9.8%，电气机械和器材制造业增长24.1%，计算机、通信和其他电子设备制造业增长12.2%，电力、热力生产和供应业增长13.6%。分产品看，3月份，612种产品中有505种产品同比增长。钢材11987万吨，同比增长20.9%；水泥19702万吨，增长33.1%；十种有色金属548万吨，增长12.7%；乙烯249万吨，增长27.8%；汽车251.7万辆，增长69.8%，其中，新能源汽车23.3万辆，增长237.7%；发电量6579亿千瓦时，增长17.4%；原油加工量5979万吨，增长19.7%。</w:t>
      </w:r>
    </w:p>
    <w:p w:rsidR="000A53EC" w:rsidRDefault="00A00DFE" w:rsidP="000A53EC">
      <w:pPr>
        <w:pStyle w:val="a"/>
      </w:pPr>
      <w:r>
        <w:rPr>
          <w:rFonts w:hint="eastAsia"/>
        </w:rPr>
        <w:t>基础设施投资完成额同比增速</w:t>
      </w:r>
    </w:p>
    <w:p w:rsidR="000A53EC" w:rsidRPr="00D10B8C" w:rsidRDefault="00A00DFE" w:rsidP="000A53EC">
      <w:pPr>
        <w:pStyle w:val="a"/>
        <w:numPr>
          <w:ilvl w:val="0"/>
          <w:numId w:val="0"/>
        </w:numPr>
        <w:rPr>
          <w:kern w:val="0"/>
        </w:rPr>
      </w:pPr>
      <w:r>
        <w:rPr>
          <w:noProof/>
          <w:kern w:val="0"/>
        </w:rPr>
        <w:drawing>
          <wp:inline distT="0" distB="0" distL="0" distR="0">
            <wp:extent cx="4264715" cy="2594113"/>
            <wp:effectExtent l="19050" t="0" r="2485" b="0"/>
            <wp:docPr id="2" name="图片 1" descr="C:\Users\ADMINI~1.PC-\AppData\Local\Temp\162027314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PC-\AppData\Local\Temp\1620273144(1).png"/>
                    <pic:cNvPicPr>
                      <a:picLocks noChangeAspect="1" noChangeArrowheads="1"/>
                    </pic:cNvPicPr>
                  </pic:nvPicPr>
                  <pic:blipFill>
                    <a:blip r:embed="rId16"/>
                    <a:srcRect/>
                    <a:stretch>
                      <a:fillRect/>
                    </a:stretch>
                  </pic:blipFill>
                  <pic:spPr bwMode="auto">
                    <a:xfrm>
                      <a:off x="0" y="0"/>
                      <a:ext cx="4262657" cy="2592861"/>
                    </a:xfrm>
                    <a:prstGeom prst="rect">
                      <a:avLst/>
                    </a:prstGeom>
                    <a:noFill/>
                    <a:ln w="9525">
                      <a:noFill/>
                      <a:miter lim="800000"/>
                      <a:headEnd/>
                      <a:tailEnd/>
                    </a:ln>
                  </pic:spPr>
                </pic:pic>
              </a:graphicData>
            </a:graphic>
          </wp:inline>
        </w:drawing>
      </w:r>
    </w:p>
    <w:p w:rsidR="006C7D65" w:rsidRPr="00A00DFE" w:rsidRDefault="000A53EC" w:rsidP="00A00DFE">
      <w:pPr>
        <w:jc w:val="right"/>
        <w:rPr>
          <w:noProof/>
          <w:kern w:val="0"/>
        </w:rPr>
      </w:pPr>
      <w:r>
        <w:rPr>
          <w:rFonts w:hint="eastAsia"/>
          <w:noProof/>
          <w:kern w:val="0"/>
        </w:rPr>
        <w:t>数据来源：民生期货、</w:t>
      </w:r>
      <w:r>
        <w:rPr>
          <w:rFonts w:hint="eastAsia"/>
          <w:noProof/>
          <w:kern w:val="0"/>
        </w:rPr>
        <w:t>WIND</w:t>
      </w:r>
    </w:p>
    <w:p w:rsidR="00235DC3" w:rsidRPr="00FC6923" w:rsidRDefault="00B8196A" w:rsidP="00F80A9E">
      <w:pPr>
        <w:pStyle w:val="3"/>
        <w:numPr>
          <w:ilvl w:val="0"/>
          <w:numId w:val="2"/>
        </w:numPr>
        <w:spacing w:before="100" w:after="100" w:line="240" w:lineRule="auto"/>
        <w:ind w:left="0" w:firstLineChars="0" w:firstLine="0"/>
        <w:rPr>
          <w:szCs w:val="28"/>
        </w:rPr>
      </w:pPr>
      <w:bookmarkStart w:id="9" w:name="_Toc21971224"/>
      <w:r w:rsidRPr="008F28C7">
        <w:rPr>
          <w:rFonts w:hint="eastAsia"/>
          <w:szCs w:val="28"/>
        </w:rPr>
        <w:lastRenderedPageBreak/>
        <w:t>供给</w:t>
      </w:r>
      <w:bookmarkEnd w:id="9"/>
    </w:p>
    <w:p w:rsidR="007410D8" w:rsidRPr="00C15F43" w:rsidRDefault="00CD0577" w:rsidP="00C15F43">
      <w:pPr>
        <w:pStyle w:val="ac"/>
        <w:shd w:val="clear" w:color="auto" w:fill="FFFFFF"/>
        <w:spacing w:before="250" w:line="480" w:lineRule="atLeast"/>
        <w:ind w:firstLine="480"/>
        <w:jc w:val="both"/>
        <w:rPr>
          <w:rFonts w:asciiTheme="minorEastAsia" w:eastAsiaTheme="minorEastAsia" w:hAnsiTheme="minorEastAsia" w:cs="Times New Roman"/>
          <w:kern w:val="2"/>
          <w:sz w:val="28"/>
          <w:szCs w:val="28"/>
        </w:rPr>
      </w:pPr>
      <w:r w:rsidRPr="007410D8">
        <w:rPr>
          <w:rFonts w:asciiTheme="minorEastAsia" w:eastAsiaTheme="minorEastAsia" w:hAnsiTheme="minorEastAsia" w:hint="eastAsia"/>
          <w:sz w:val="28"/>
          <w:szCs w:val="28"/>
        </w:rPr>
        <w:t>白银是人类开发利用最早的贵金属之一，也是财富和地位的象征，人类对白银的追逐自古以来未曾停息。</w:t>
      </w:r>
      <w:r w:rsidR="007410D8" w:rsidRPr="007410D8">
        <w:rPr>
          <w:rFonts w:asciiTheme="minorEastAsia" w:eastAsiaTheme="minorEastAsia" w:hAnsiTheme="minorEastAsia" w:hint="eastAsia"/>
          <w:sz w:val="28"/>
          <w:szCs w:val="28"/>
        </w:rPr>
        <w:t>白银的供给相对稳定，而且生产地分布广泛，不会存在某一国家或地区的操控，所以供给面对白银价格的影响很小。需求层面上，一方面白银的年度现货需求总体稳定，但工业需求与白银价格联动明显，工业需求主导了白银的底部价格</w:t>
      </w:r>
      <w:r w:rsidR="00173478">
        <w:rPr>
          <w:rFonts w:asciiTheme="minorEastAsia" w:eastAsiaTheme="minorEastAsia" w:hAnsiTheme="minorEastAsia" w:hint="eastAsia"/>
          <w:sz w:val="28"/>
          <w:szCs w:val="28"/>
        </w:rPr>
        <w:t>，由于每年</w:t>
      </w:r>
      <w:r w:rsidR="00173478" w:rsidRPr="00C15F43">
        <w:rPr>
          <w:rFonts w:asciiTheme="minorEastAsia" w:eastAsiaTheme="minorEastAsia" w:hAnsiTheme="minorEastAsia" w:cs="Times New Roman" w:hint="eastAsia"/>
          <w:kern w:val="2"/>
          <w:sz w:val="28"/>
          <w:szCs w:val="28"/>
        </w:rPr>
        <w:t>供需总体差别较小，造就了供需对白银价格的总体影响偏弱，</w:t>
      </w:r>
      <w:r w:rsidR="007410D8" w:rsidRPr="00C15F43">
        <w:rPr>
          <w:rFonts w:asciiTheme="minorEastAsia" w:eastAsiaTheme="minorEastAsia" w:hAnsiTheme="minorEastAsia" w:cs="Times New Roman" w:hint="eastAsia"/>
          <w:kern w:val="2"/>
          <w:sz w:val="28"/>
          <w:szCs w:val="28"/>
        </w:rPr>
        <w:t>另一方面白银的投资需求增长迅速，白银的金融衍生品种类繁多且交易量大，</w:t>
      </w:r>
      <w:r w:rsidR="00173478" w:rsidRPr="00C15F43">
        <w:rPr>
          <w:rFonts w:asciiTheme="minorEastAsia" w:eastAsiaTheme="minorEastAsia" w:hAnsiTheme="minorEastAsia" w:cs="Times New Roman" w:hint="eastAsia"/>
          <w:kern w:val="2"/>
          <w:sz w:val="28"/>
          <w:szCs w:val="28"/>
        </w:rPr>
        <w:t>短期影响因素更多是一些宏观因素，类似于黄金的影响因素。</w:t>
      </w:r>
    </w:p>
    <w:p w:rsidR="007410D8" w:rsidRPr="00C15F43" w:rsidRDefault="007410D8" w:rsidP="00C15F43">
      <w:pPr>
        <w:pStyle w:val="ac"/>
        <w:shd w:val="clear" w:color="auto" w:fill="FFFFFF"/>
        <w:spacing w:before="250" w:line="480" w:lineRule="atLeast"/>
        <w:ind w:firstLine="480"/>
        <w:jc w:val="both"/>
        <w:rPr>
          <w:rFonts w:asciiTheme="minorEastAsia" w:eastAsiaTheme="minorEastAsia" w:hAnsiTheme="minorEastAsia" w:cs="Times New Roman"/>
          <w:kern w:val="2"/>
          <w:sz w:val="28"/>
          <w:szCs w:val="28"/>
        </w:rPr>
      </w:pPr>
      <w:r w:rsidRPr="00C15F43">
        <w:rPr>
          <w:rFonts w:asciiTheme="minorEastAsia" w:eastAsiaTheme="minorEastAsia" w:hAnsiTheme="minorEastAsia" w:cs="Times New Roman" w:hint="eastAsia"/>
          <w:kern w:val="2"/>
          <w:sz w:val="28"/>
          <w:szCs w:val="28"/>
        </w:rPr>
        <w:t>数据显示，截至2015年全球白银储量约为53万吨，秘鲁、波兰、智利、澳大利亚和中国作为世界前五大白银矿藏储备国，其白银储量占世界总储量的73%。</w:t>
      </w:r>
      <w:r w:rsidR="00CD0577" w:rsidRPr="00C15F43">
        <w:rPr>
          <w:rFonts w:asciiTheme="minorEastAsia" w:eastAsiaTheme="minorEastAsia" w:hAnsiTheme="minorEastAsia" w:cs="Times New Roman" w:hint="eastAsia"/>
          <w:kern w:val="2"/>
          <w:sz w:val="28"/>
          <w:szCs w:val="28"/>
        </w:rPr>
        <w:t>波兰及澳大利亚等储量丰富的国家白银产能尚未完全释放，而南美洲及东亚为传统的白银生产地，产量依然巨大。</w:t>
      </w:r>
      <w:r w:rsidRPr="00C15F43">
        <w:rPr>
          <w:rFonts w:asciiTheme="minorEastAsia" w:eastAsiaTheme="minorEastAsia" w:hAnsiTheme="minorEastAsia" w:cs="Times New Roman" w:hint="eastAsia"/>
          <w:kern w:val="2"/>
          <w:sz w:val="28"/>
          <w:szCs w:val="28"/>
        </w:rPr>
        <w:t>2017年，世界白银产量约为852百万盎司，其中墨西哥年产白银196.4百万盎司、秘鲁147.5百万盎司、中国112.6百万盎司，前五大产银国占全球总产量的65.29%。</w:t>
      </w:r>
      <w:r w:rsidR="00CD0577" w:rsidRPr="00C15F43">
        <w:rPr>
          <w:rFonts w:asciiTheme="minorEastAsia" w:eastAsiaTheme="minorEastAsia" w:hAnsiTheme="minorEastAsia" w:cs="Times New Roman" w:hint="eastAsia"/>
          <w:kern w:val="2"/>
          <w:sz w:val="28"/>
          <w:szCs w:val="28"/>
        </w:rPr>
        <w:t>另外其他就是再生银，从回收银饰银器，或者含银废料，比如电器主板。</w:t>
      </w:r>
      <w:r w:rsidR="00CD0577" w:rsidRPr="00C15F43">
        <w:rPr>
          <w:rFonts w:asciiTheme="minorEastAsia" w:eastAsiaTheme="minorEastAsia" w:hAnsiTheme="minorEastAsia" w:cs="Times New Roman"/>
          <w:kern w:val="2"/>
          <w:sz w:val="28"/>
          <w:szCs w:val="28"/>
        </w:rPr>
        <w:t>根据世界白银协会统计，近年来全球白银供给量为3.2万吨左右</w:t>
      </w:r>
      <w:r w:rsidR="00CD0577" w:rsidRPr="00C15F43">
        <w:rPr>
          <w:rFonts w:asciiTheme="minorEastAsia" w:eastAsiaTheme="minorEastAsia" w:hAnsiTheme="minorEastAsia" w:cs="Times New Roman" w:hint="eastAsia"/>
          <w:kern w:val="2"/>
          <w:sz w:val="28"/>
          <w:szCs w:val="28"/>
        </w:rPr>
        <w:t>。</w:t>
      </w:r>
    </w:p>
    <w:p w:rsidR="007410D8" w:rsidRPr="00C15F43" w:rsidRDefault="007410D8" w:rsidP="00B311F6">
      <w:pPr>
        <w:pStyle w:val="ac"/>
        <w:ind w:firstLineChars="200" w:firstLine="560"/>
        <w:rPr>
          <w:sz w:val="28"/>
          <w:szCs w:val="28"/>
        </w:rPr>
      </w:pPr>
      <w:r w:rsidRPr="007410D8">
        <w:rPr>
          <w:rFonts w:asciiTheme="minorEastAsia" w:eastAsiaTheme="minorEastAsia" w:hAnsiTheme="minorEastAsia" w:hint="eastAsia"/>
          <w:sz w:val="28"/>
          <w:szCs w:val="28"/>
        </w:rPr>
        <w:t>矿生银是白银的主要来源，近5年年均占比为80.64%，</w:t>
      </w:r>
      <w:r w:rsidR="00CD0577" w:rsidRPr="00510FED">
        <w:rPr>
          <w:rFonts w:asciiTheme="minorEastAsia" w:eastAsiaTheme="minorEastAsia" w:hAnsiTheme="minorEastAsia" w:hint="eastAsia"/>
          <w:sz w:val="28"/>
          <w:szCs w:val="28"/>
        </w:rPr>
        <w:t>而作为单独白银矿来源的占总供应的 26%。</w:t>
      </w:r>
      <w:r w:rsidRPr="007410D8">
        <w:rPr>
          <w:rFonts w:asciiTheme="minorEastAsia" w:eastAsiaTheme="minorEastAsia" w:hAnsiTheme="minorEastAsia" w:hint="eastAsia"/>
          <w:sz w:val="28"/>
          <w:szCs w:val="28"/>
        </w:rPr>
        <w:t>主要原因是纯白银的价格并不高，回收提炼白银的成本与矿生银的成本差别不大，故各国回收白银的意</w:t>
      </w:r>
      <w:r w:rsidRPr="007410D8">
        <w:rPr>
          <w:rFonts w:asciiTheme="minorEastAsia" w:eastAsiaTheme="minorEastAsia" w:hAnsiTheme="minorEastAsia" w:hint="eastAsia"/>
          <w:sz w:val="28"/>
          <w:szCs w:val="28"/>
        </w:rPr>
        <w:lastRenderedPageBreak/>
        <w:t>愿大大削减。63.04%的白银存放在世界各地的仓库中，24.01%的白银作为白银ETP库存，政府白银储备占比仅为3.2%，大部分白银都作为财富存储起来。</w:t>
      </w:r>
    </w:p>
    <w:p w:rsidR="002337E4" w:rsidRDefault="00B8196A" w:rsidP="00121827">
      <w:pPr>
        <w:pStyle w:val="ac"/>
        <w:ind w:firstLineChars="200" w:firstLine="560"/>
        <w:rPr>
          <w:sz w:val="28"/>
          <w:szCs w:val="28"/>
        </w:rPr>
      </w:pPr>
      <w:r w:rsidRPr="00133953">
        <w:rPr>
          <w:rFonts w:hint="eastAsia"/>
          <w:sz w:val="28"/>
          <w:szCs w:val="28"/>
        </w:rPr>
        <w:t>全球白银矿业勘探投资在2012年达到峰值，此后快速下降，2016年跌去峰值的2/</w:t>
      </w:r>
      <w:r w:rsidRPr="005544AD">
        <w:rPr>
          <w:rFonts w:hint="eastAsia"/>
          <w:sz w:val="28"/>
          <w:szCs w:val="28"/>
        </w:rPr>
        <w:t>3。</w:t>
      </w:r>
      <w:r w:rsidR="00BF39C1">
        <w:rPr>
          <w:rFonts w:hint="eastAsia"/>
          <w:sz w:val="28"/>
          <w:szCs w:val="28"/>
        </w:rPr>
        <w:t>而</w:t>
      </w:r>
      <w:r w:rsidRPr="005544AD">
        <w:rPr>
          <w:rFonts w:hint="eastAsia"/>
          <w:sz w:val="28"/>
          <w:szCs w:val="28"/>
        </w:rPr>
        <w:t>全球矿产银产量在2015年、2016年达到峰值，此后产量缓慢下降。产量减少的原因是：</w:t>
      </w:r>
      <w:r w:rsidR="00BF39C1">
        <w:rPr>
          <w:rFonts w:hint="eastAsia"/>
          <w:sz w:val="28"/>
          <w:szCs w:val="28"/>
        </w:rPr>
        <w:t>在矿产银领域，</w:t>
      </w:r>
      <w:r w:rsidR="00BF39C1" w:rsidRPr="004C6FDC">
        <w:rPr>
          <w:rFonts w:hint="eastAsia"/>
          <w:sz w:val="28"/>
          <w:szCs w:val="28"/>
        </w:rPr>
        <w:t>个别国家</w:t>
      </w:r>
      <w:r w:rsidR="00BF39C1">
        <w:rPr>
          <w:rFonts w:hint="eastAsia"/>
          <w:sz w:val="28"/>
          <w:szCs w:val="28"/>
        </w:rPr>
        <w:t>为了利益强制干扰市场供求关系：</w:t>
      </w:r>
      <w:r w:rsidR="00BF39C1" w:rsidRPr="004C6FDC">
        <w:rPr>
          <w:rFonts w:hint="eastAsia"/>
          <w:sz w:val="28"/>
          <w:szCs w:val="28"/>
        </w:rPr>
        <w:t>2017</w:t>
      </w:r>
      <w:r w:rsidR="00BF39C1">
        <w:rPr>
          <w:rFonts w:hint="eastAsia"/>
          <w:sz w:val="28"/>
          <w:szCs w:val="28"/>
        </w:rPr>
        <w:t>年</w:t>
      </w:r>
      <w:r w:rsidR="00BF39C1" w:rsidRPr="004C6FDC">
        <w:rPr>
          <w:rFonts w:hint="eastAsia"/>
          <w:sz w:val="28"/>
          <w:szCs w:val="28"/>
        </w:rPr>
        <w:t>，危地马拉政府停掉了</w:t>
      </w:r>
      <w:r w:rsidR="00BF39C1">
        <w:rPr>
          <w:rFonts w:hint="eastAsia"/>
          <w:sz w:val="28"/>
          <w:szCs w:val="28"/>
        </w:rPr>
        <w:t>加拿大矿业Tahoe</w:t>
      </w:r>
      <w:r w:rsidR="00BF39C1" w:rsidRPr="004C6FDC">
        <w:rPr>
          <w:rFonts w:hint="eastAsia"/>
          <w:sz w:val="28"/>
          <w:szCs w:val="28"/>
        </w:rPr>
        <w:t>Resourcese的两个矿( Escoba和 Juan Bosco)</w:t>
      </w:r>
      <w:r w:rsidR="00BF39C1">
        <w:rPr>
          <w:rFonts w:hint="eastAsia"/>
          <w:sz w:val="28"/>
          <w:szCs w:val="28"/>
        </w:rPr>
        <w:t>，</w:t>
      </w:r>
      <w:r w:rsidR="00BF39C1" w:rsidRPr="004C6FDC">
        <w:rPr>
          <w:rFonts w:hint="eastAsia"/>
          <w:sz w:val="28"/>
          <w:szCs w:val="28"/>
        </w:rPr>
        <w:t>2019年，墨西哥暂停了全国第二大银矿Penasquito</w:t>
      </w:r>
      <w:r w:rsidR="00BF39C1">
        <w:rPr>
          <w:rFonts w:hint="eastAsia"/>
          <w:sz w:val="28"/>
          <w:szCs w:val="28"/>
        </w:rPr>
        <w:t>，</w:t>
      </w:r>
      <w:r w:rsidR="00BF39C1" w:rsidRPr="004C6FDC">
        <w:rPr>
          <w:rFonts w:hint="eastAsia"/>
          <w:sz w:val="28"/>
          <w:szCs w:val="28"/>
        </w:rPr>
        <w:t>这是美国矿业公司 Newmont开发的矿。之所以被暂停，是因Newmont公司跟当地卡车承包商闹矛</w:t>
      </w:r>
      <w:r w:rsidR="00BF39C1">
        <w:rPr>
          <w:rFonts w:hint="eastAsia"/>
          <w:sz w:val="28"/>
          <w:szCs w:val="28"/>
        </w:rPr>
        <w:t>盾，</w:t>
      </w:r>
      <w:r w:rsidR="00BF39C1" w:rsidRPr="004C6FDC">
        <w:rPr>
          <w:rFonts w:hint="eastAsia"/>
          <w:sz w:val="28"/>
          <w:szCs w:val="28"/>
        </w:rPr>
        <w:t>而且还被当地居民抗议，说挖这个矿太当地的水资源了。</w:t>
      </w:r>
      <w:r w:rsidR="00BF39C1">
        <w:rPr>
          <w:rFonts w:hint="eastAsia"/>
          <w:sz w:val="28"/>
          <w:szCs w:val="28"/>
        </w:rPr>
        <w:t>另一方面就是由于长期白银价格低位徘徊，同步的人力成本却涨了许多，许多矿业公司因此减少了勘探范围，比如英国矿业公司Hochschild就在2019年暂停了秘鲁的Arcata矿的运营。</w:t>
      </w:r>
      <w:r w:rsidR="002C5A6A" w:rsidRPr="005544AD">
        <w:rPr>
          <w:rFonts w:hint="eastAsia"/>
          <w:sz w:val="28"/>
          <w:szCs w:val="28"/>
        </w:rPr>
        <w:t>前期勘探开发投资的下降，使得新增产量资源不足；随着部分老矿山进入开采最后阶段，矿石品位严重下滑，产能有所收缩；以及各种矿山经营中的问题</w:t>
      </w:r>
      <w:r w:rsidR="002C5A6A">
        <w:rPr>
          <w:rFonts w:hint="eastAsia"/>
          <w:sz w:val="28"/>
          <w:szCs w:val="28"/>
        </w:rPr>
        <w:t>对供应有压制作用</w:t>
      </w:r>
      <w:r w:rsidR="002C5A6A" w:rsidRPr="005544AD">
        <w:rPr>
          <w:rFonts w:hint="eastAsia"/>
          <w:sz w:val="28"/>
          <w:szCs w:val="28"/>
        </w:rPr>
        <w:t>。</w:t>
      </w:r>
      <w:r w:rsidR="00BF39C1">
        <w:rPr>
          <w:rFonts w:hint="eastAsia"/>
          <w:sz w:val="28"/>
          <w:szCs w:val="28"/>
        </w:rPr>
        <w:t>另外当前的新冠疫情，有一部分企业也停工停产。</w:t>
      </w:r>
    </w:p>
    <w:p w:rsidR="00121827" w:rsidRDefault="00121827" w:rsidP="00C15F43">
      <w:pPr>
        <w:pStyle w:val="ac"/>
        <w:ind w:firstLineChars="200" w:firstLine="560"/>
        <w:rPr>
          <w:sz w:val="28"/>
          <w:szCs w:val="28"/>
        </w:rPr>
      </w:pPr>
      <w:r w:rsidRPr="00C15F43">
        <w:rPr>
          <w:sz w:val="28"/>
          <w:szCs w:val="28"/>
        </w:rPr>
        <w:t>国内白银产量</w:t>
      </w:r>
      <w:r w:rsidRPr="00C15F43">
        <w:rPr>
          <w:rFonts w:hint="eastAsia"/>
          <w:sz w:val="28"/>
          <w:szCs w:val="28"/>
        </w:rPr>
        <w:t>方面，4月份</w:t>
      </w:r>
      <w:r w:rsidRPr="00C15F43">
        <w:rPr>
          <w:sz w:val="28"/>
          <w:szCs w:val="28"/>
        </w:rPr>
        <w:t>预计 430 吨，较上月产量有所下滑，开工率同步下滑。本月随着有效工作日减少，企业生产情况保持较为稳定的状态，整体产量有所下滑。</w:t>
      </w:r>
    </w:p>
    <w:p w:rsidR="00121827" w:rsidRPr="00C15F43" w:rsidRDefault="00121827" w:rsidP="00C15F43">
      <w:pPr>
        <w:pStyle w:val="ac"/>
        <w:ind w:firstLineChars="200" w:firstLine="560"/>
        <w:rPr>
          <w:sz w:val="28"/>
          <w:szCs w:val="28"/>
        </w:rPr>
      </w:pPr>
      <w:r w:rsidRPr="00C15F43">
        <w:rPr>
          <w:rFonts w:hint="eastAsia"/>
          <w:sz w:val="28"/>
          <w:szCs w:val="28"/>
        </w:rPr>
        <w:lastRenderedPageBreak/>
        <w:t>国内企业白银</w:t>
      </w:r>
      <w:r w:rsidRPr="00C15F43">
        <w:rPr>
          <w:sz w:val="28"/>
          <w:szCs w:val="28"/>
        </w:rPr>
        <w:t>成本方面：</w:t>
      </w:r>
      <w:r w:rsidRPr="00C15F43">
        <w:rPr>
          <w:rFonts w:hint="eastAsia"/>
          <w:sz w:val="28"/>
          <w:szCs w:val="28"/>
        </w:rPr>
        <w:t>上</w:t>
      </w:r>
      <w:r w:rsidRPr="00C15F43">
        <w:rPr>
          <w:sz w:val="28"/>
          <w:szCs w:val="28"/>
        </w:rPr>
        <w:t>月国内白银成本面小幅波动，白银成本小幅上涨后小幅下跌，成本依旧维持在 4300 元/千克以上。 利润方面：本月国内白银的毛利润水平略有上涨，尽管成本面维持在小幅波动的水平情况下，白 银整体价格有所上涨，利润水平同步上涨，利润涨至 1000元/千克以上的水平</w:t>
      </w:r>
      <w:r w:rsidRPr="00C15F43">
        <w:rPr>
          <w:rFonts w:hint="eastAsia"/>
          <w:sz w:val="28"/>
          <w:szCs w:val="28"/>
        </w:rPr>
        <w:t>。</w:t>
      </w:r>
    </w:p>
    <w:p w:rsidR="00121827" w:rsidRPr="00121827" w:rsidRDefault="00121827" w:rsidP="00C15F43">
      <w:pPr>
        <w:pStyle w:val="ac"/>
        <w:ind w:firstLineChars="200" w:firstLine="560"/>
        <w:rPr>
          <w:sz w:val="28"/>
          <w:szCs w:val="28"/>
        </w:rPr>
      </w:pPr>
      <w:r w:rsidRPr="00C15F43">
        <w:rPr>
          <w:sz w:val="28"/>
          <w:szCs w:val="28"/>
        </w:rPr>
        <w:t>白银进口情况</w:t>
      </w:r>
      <w:r w:rsidRPr="00C15F43">
        <w:rPr>
          <w:rFonts w:hint="eastAsia"/>
          <w:sz w:val="28"/>
          <w:szCs w:val="28"/>
        </w:rPr>
        <w:t>，</w:t>
      </w:r>
      <w:r w:rsidRPr="00C15F43">
        <w:rPr>
          <w:sz w:val="28"/>
          <w:szCs w:val="28"/>
        </w:rPr>
        <w:t>截止到 2021 年 3 月，国内未锻造银进口量达到 24.38 吨，出口量 0.00 吨。从进口国家上来看，国内未锻造银的进口贸易伙伴主要来自中国香港，其占比 23.62%，其次是中国台湾，占比 24.53%；从进出口省份上来看，主要来自广东省、河南省、江苏省和上海市等等，分别占比 38.02%、20.88%、 15.30%和 10.05%；从贸易方式上来看，未锻造银的进口贸易主要是来料加工贸易和一般贸易的形式，各占比为 27.45%和 31.70%。</w:t>
      </w:r>
    </w:p>
    <w:p w:rsidR="00450B01" w:rsidRPr="0032356D" w:rsidRDefault="00B84DBA" w:rsidP="00B311F6">
      <w:pPr>
        <w:pStyle w:val="ac"/>
        <w:ind w:firstLineChars="200" w:firstLine="562"/>
        <w:rPr>
          <w:sz w:val="28"/>
          <w:szCs w:val="28"/>
        </w:rPr>
      </w:pPr>
      <w:r w:rsidRPr="00E56EF9">
        <w:rPr>
          <w:rFonts w:asciiTheme="minorEastAsia" w:eastAsiaTheme="minorEastAsia" w:hAnsiTheme="minorEastAsia"/>
          <w:b/>
          <w:sz w:val="28"/>
          <w:szCs w:val="28"/>
        </w:rPr>
        <w:t>为什么白银价格</w:t>
      </w:r>
      <w:r w:rsidRPr="00E56EF9">
        <w:rPr>
          <w:rFonts w:asciiTheme="minorEastAsia" w:eastAsiaTheme="minorEastAsia" w:hAnsiTheme="minorEastAsia" w:hint="eastAsia"/>
          <w:b/>
          <w:sz w:val="28"/>
          <w:szCs w:val="28"/>
        </w:rPr>
        <w:t>历史波动大但这几年</w:t>
      </w:r>
      <w:r w:rsidRPr="00E56EF9">
        <w:rPr>
          <w:rFonts w:asciiTheme="minorEastAsia" w:eastAsiaTheme="minorEastAsia" w:hAnsiTheme="minorEastAsia"/>
          <w:b/>
          <w:sz w:val="28"/>
          <w:szCs w:val="28"/>
        </w:rPr>
        <w:t>上不去呢？</w:t>
      </w:r>
      <w:r>
        <w:rPr>
          <w:rFonts w:hint="eastAsia"/>
          <w:sz w:val="28"/>
          <w:szCs w:val="28"/>
        </w:rPr>
        <w:t>主要是</w:t>
      </w:r>
      <w:r w:rsidRPr="00133953">
        <w:rPr>
          <w:rFonts w:hint="eastAsia"/>
          <w:sz w:val="28"/>
          <w:szCs w:val="28"/>
        </w:rPr>
        <w:t>白银市场易于被掌控，</w:t>
      </w:r>
      <w:r w:rsidRPr="00B84DBA">
        <w:rPr>
          <w:sz w:val="28"/>
          <w:szCs w:val="28"/>
        </w:rPr>
        <w:t>这是有历史渊源的。</w:t>
      </w:r>
      <w:r w:rsidR="00133953" w:rsidRPr="00133953">
        <w:rPr>
          <w:sz w:val="28"/>
          <w:szCs w:val="28"/>
        </w:rPr>
        <w:t>白银</w:t>
      </w:r>
      <w:r w:rsidR="00133953" w:rsidRPr="00133953">
        <w:rPr>
          <w:rFonts w:hint="eastAsia"/>
          <w:sz w:val="28"/>
          <w:szCs w:val="28"/>
        </w:rPr>
        <w:t>有个特点是</w:t>
      </w:r>
      <w:r w:rsidR="00133953" w:rsidRPr="00133953">
        <w:rPr>
          <w:sz w:val="28"/>
          <w:szCs w:val="28"/>
        </w:rPr>
        <w:t>每次危机的时候白银都能掀起风浪。</w:t>
      </w:r>
      <w:r w:rsidRPr="00B84DBA">
        <w:rPr>
          <w:sz w:val="28"/>
          <w:szCs w:val="28"/>
        </w:rPr>
        <w:t>2008年金融危机的时候，</w:t>
      </w:r>
      <w:r w:rsidR="00133953" w:rsidRPr="00133953">
        <w:rPr>
          <w:sz w:val="28"/>
          <w:szCs w:val="28"/>
        </w:rPr>
        <w:t>当时的白银控盘者，全球五大投行之一的贝尔斯登因为做空白银濒临破产，在美联储的牵线下，摩根大通收购了贝尔斯登，由此摩根大通顺理成章的成了</w:t>
      </w:r>
      <w:r w:rsidR="00133953" w:rsidRPr="00B84DBA">
        <w:rPr>
          <w:sz w:val="28"/>
          <w:szCs w:val="28"/>
        </w:rPr>
        <w:t>COMEX最大的黄金和白银</w:t>
      </w:r>
      <w:r w:rsidR="00133953" w:rsidRPr="00133953">
        <w:rPr>
          <w:sz w:val="28"/>
          <w:szCs w:val="28"/>
        </w:rPr>
        <w:t>的最大玩家，</w:t>
      </w:r>
      <w:r w:rsidR="00133953" w:rsidRPr="00B84DBA">
        <w:rPr>
          <w:sz w:val="28"/>
          <w:szCs w:val="28"/>
        </w:rPr>
        <w:t>到2009年12月，摩根大通持有40%以上的COMEX卖空白银量，2010年，摩根大通“急流勇退”，撤掉了白银空头，却没想到引起对冲基金哄抢，白银从15美元/盎司，暴涨到近50美元/</w:t>
      </w:r>
      <w:r w:rsidR="00133953">
        <w:rPr>
          <w:sz w:val="28"/>
          <w:szCs w:val="28"/>
        </w:rPr>
        <w:t>盎司。于是</w:t>
      </w:r>
      <w:r w:rsidR="00133953" w:rsidRPr="00B84DBA">
        <w:rPr>
          <w:sz w:val="28"/>
          <w:szCs w:val="28"/>
        </w:rPr>
        <w:t>大家又求着摩根大通回来做空。</w:t>
      </w:r>
      <w:r w:rsidR="00133953" w:rsidRPr="00133953">
        <w:rPr>
          <w:sz w:val="28"/>
          <w:szCs w:val="28"/>
        </w:rPr>
        <w:t>摩根大通和花旗等华尔街机构在</w:t>
      </w:r>
      <w:r w:rsidR="00133953">
        <w:rPr>
          <w:sz w:val="28"/>
          <w:szCs w:val="28"/>
        </w:rPr>
        <w:t>2008</w:t>
      </w:r>
      <w:r w:rsidR="00133953">
        <w:rPr>
          <w:rFonts w:hint="eastAsia"/>
          <w:sz w:val="28"/>
          <w:szCs w:val="28"/>
        </w:rPr>
        <w:t>-</w:t>
      </w:r>
      <w:r w:rsidR="00133953" w:rsidRPr="00133953">
        <w:rPr>
          <w:sz w:val="28"/>
          <w:szCs w:val="28"/>
        </w:rPr>
        <w:t>2016年之间的集体控盘打压白银，银价</w:t>
      </w:r>
      <w:r w:rsidR="00133953" w:rsidRPr="00133953">
        <w:rPr>
          <w:sz w:val="28"/>
          <w:szCs w:val="28"/>
        </w:rPr>
        <w:lastRenderedPageBreak/>
        <w:t>最低才8.96美元每盎司。</w:t>
      </w:r>
      <w:r w:rsidR="00197CBF">
        <w:rPr>
          <w:sz w:val="28"/>
          <w:szCs w:val="28"/>
        </w:rPr>
        <w:t>从那以后却一直在拼命囤积实物白银</w:t>
      </w:r>
      <w:r w:rsidR="00197CBF">
        <w:rPr>
          <w:rFonts w:hint="eastAsia"/>
          <w:sz w:val="28"/>
          <w:szCs w:val="28"/>
        </w:rPr>
        <w:t>，</w:t>
      </w:r>
      <w:r>
        <w:rPr>
          <w:rFonts w:hint="eastAsia"/>
          <w:sz w:val="28"/>
          <w:szCs w:val="28"/>
        </w:rPr>
        <w:t>据</w:t>
      </w:r>
      <w:r w:rsidRPr="00B84DBA">
        <w:rPr>
          <w:sz w:val="28"/>
          <w:szCs w:val="28"/>
        </w:rPr>
        <w:t>2019年7月底</w:t>
      </w:r>
      <w:r>
        <w:rPr>
          <w:rFonts w:hint="eastAsia"/>
          <w:sz w:val="28"/>
          <w:szCs w:val="28"/>
        </w:rPr>
        <w:t>的信息</w:t>
      </w:r>
      <w:r w:rsidRPr="00B84DBA">
        <w:rPr>
          <w:sz w:val="28"/>
          <w:szCs w:val="28"/>
        </w:rPr>
        <w:t>，摩根大通持有COMEX白银现货库存高达约1.5亿金盎司（约4782吨），约占COMEX交易所总库存9659吨的一半！</w:t>
      </w:r>
      <w:r w:rsidR="00197CBF" w:rsidRPr="00197CBF">
        <w:rPr>
          <w:sz w:val="28"/>
          <w:szCs w:val="28"/>
        </w:rPr>
        <w:t>如果我们的视野不困在COMEX系统内，仅仅谈白银的实际拥有量，据说摩根大通在过去的数年里积累了在世界历史上最大的私人储备实物白银——5亿盎司！</w:t>
      </w:r>
      <w:r>
        <w:rPr>
          <w:sz w:val="28"/>
          <w:szCs w:val="28"/>
        </w:rPr>
        <w:t>如此集中的筹码，</w:t>
      </w:r>
      <w:r>
        <w:rPr>
          <w:rFonts w:hint="eastAsia"/>
          <w:sz w:val="28"/>
          <w:szCs w:val="28"/>
        </w:rPr>
        <w:t>使得市场不容易上涨，</w:t>
      </w:r>
      <w:r w:rsidRPr="00B84DBA">
        <w:rPr>
          <w:sz w:val="28"/>
          <w:szCs w:val="28"/>
        </w:rPr>
        <w:t>但也不得不承认，摩根大通的存在，让</w:t>
      </w:r>
      <w:r>
        <w:rPr>
          <w:sz w:val="28"/>
          <w:szCs w:val="28"/>
        </w:rPr>
        <w:t>白银市场保持着相对稳定。如果剩下的一半，也遭到了哄抢，</w:t>
      </w:r>
      <w:r>
        <w:rPr>
          <w:rFonts w:hint="eastAsia"/>
          <w:sz w:val="28"/>
          <w:szCs w:val="28"/>
        </w:rPr>
        <w:t>供求确实可能不平衡，但是难度比较大。</w:t>
      </w:r>
    </w:p>
    <w:p w:rsidR="00450B01" w:rsidRPr="00235DC3" w:rsidRDefault="00450B01" w:rsidP="00450B01">
      <w:pPr>
        <w:pStyle w:val="a"/>
      </w:pPr>
      <w:r>
        <w:rPr>
          <w:rFonts w:hint="eastAsia"/>
        </w:rPr>
        <w:t>SHSE</w:t>
      </w:r>
      <w:r>
        <w:rPr>
          <w:rFonts w:hint="eastAsia"/>
        </w:rPr>
        <w:t>白</w:t>
      </w:r>
      <w:r>
        <w:t>银库存单位：</w:t>
      </w:r>
      <w:r w:rsidR="00792AE1">
        <w:rPr>
          <w:rFonts w:hint="eastAsia"/>
        </w:rPr>
        <w:t>吨</w:t>
      </w:r>
    </w:p>
    <w:p w:rsidR="003C36D3" w:rsidRPr="00155082" w:rsidRDefault="00780462" w:rsidP="00155082">
      <w:pPr>
        <w:pStyle w:val="a"/>
        <w:numPr>
          <w:ilvl w:val="0"/>
          <w:numId w:val="0"/>
        </w:numPr>
        <w:rPr>
          <w:kern w:val="0"/>
        </w:rPr>
      </w:pPr>
      <w:r>
        <w:rPr>
          <w:noProof/>
          <w:kern w:val="0"/>
        </w:rPr>
        <w:drawing>
          <wp:inline distT="0" distB="0" distL="0" distR="0">
            <wp:extent cx="4115628" cy="2007704"/>
            <wp:effectExtent l="19050" t="0" r="0" b="0"/>
            <wp:docPr id="15" name="图片 4" descr="C:\Users\WUYAOZ~1\AppData\Local\Temp\162028933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UYAOZ~1\AppData\Local\Temp\1620289335(1).png"/>
                    <pic:cNvPicPr>
                      <a:picLocks noChangeAspect="1" noChangeArrowheads="1"/>
                    </pic:cNvPicPr>
                  </pic:nvPicPr>
                  <pic:blipFill>
                    <a:blip r:embed="rId17"/>
                    <a:srcRect/>
                    <a:stretch>
                      <a:fillRect/>
                    </a:stretch>
                  </pic:blipFill>
                  <pic:spPr bwMode="auto">
                    <a:xfrm>
                      <a:off x="0" y="0"/>
                      <a:ext cx="4116364" cy="2008063"/>
                    </a:xfrm>
                    <a:prstGeom prst="rect">
                      <a:avLst/>
                    </a:prstGeom>
                    <a:noFill/>
                    <a:ln w="9525">
                      <a:noFill/>
                      <a:miter lim="800000"/>
                      <a:headEnd/>
                      <a:tailEnd/>
                    </a:ln>
                  </pic:spPr>
                </pic:pic>
              </a:graphicData>
            </a:graphic>
          </wp:inline>
        </w:drawing>
      </w:r>
    </w:p>
    <w:p w:rsidR="00CF5D69" w:rsidRDefault="00450B01" w:rsidP="006E378A">
      <w:pPr>
        <w:pStyle w:val="a"/>
        <w:numPr>
          <w:ilvl w:val="0"/>
          <w:numId w:val="0"/>
        </w:numPr>
        <w:ind w:leftChars="200" w:left="420" w:firstLineChars="2500" w:firstLine="5250"/>
      </w:pPr>
      <w:r w:rsidRPr="00450B01">
        <w:rPr>
          <w:rFonts w:hint="eastAsia"/>
        </w:rPr>
        <w:t>数据来源：民生期货、</w:t>
      </w:r>
      <w:r w:rsidRPr="00450B01">
        <w:rPr>
          <w:rFonts w:hint="eastAsia"/>
        </w:rPr>
        <w:t>WIND</w:t>
      </w:r>
    </w:p>
    <w:p w:rsidR="003C36D3" w:rsidRPr="00C15F43" w:rsidRDefault="00B311F6" w:rsidP="00B311F6">
      <w:pPr>
        <w:pStyle w:val="a"/>
        <w:numPr>
          <w:ilvl w:val="0"/>
          <w:numId w:val="0"/>
        </w:numPr>
        <w:ind w:leftChars="3" w:left="6" w:firstLineChars="200" w:firstLine="560"/>
        <w:rPr>
          <w:rFonts w:ascii="宋体" w:hAnsi="宋体" w:cs="宋体"/>
          <w:kern w:val="0"/>
          <w:sz w:val="28"/>
          <w:szCs w:val="28"/>
        </w:rPr>
      </w:pPr>
      <w:r w:rsidRPr="006E378A">
        <w:rPr>
          <w:rFonts w:hint="eastAsia"/>
          <w:sz w:val="28"/>
          <w:szCs w:val="28"/>
        </w:rPr>
        <w:t>白银</w:t>
      </w:r>
      <w:r w:rsidRPr="006E378A">
        <w:rPr>
          <w:sz w:val="28"/>
          <w:szCs w:val="28"/>
        </w:rPr>
        <w:t>库存</w:t>
      </w:r>
      <w:r w:rsidRPr="00C15F43">
        <w:rPr>
          <w:rFonts w:ascii="宋体" w:hAnsi="宋体" w:cs="宋体" w:hint="eastAsia"/>
          <w:kern w:val="0"/>
          <w:sz w:val="28"/>
          <w:szCs w:val="28"/>
        </w:rPr>
        <w:t>方面，</w:t>
      </w:r>
      <w:r w:rsidR="00780462" w:rsidRPr="00C15F43">
        <w:rPr>
          <w:rFonts w:ascii="宋体" w:hAnsi="宋体" w:cs="宋体"/>
          <w:kern w:val="0"/>
          <w:sz w:val="28"/>
          <w:szCs w:val="28"/>
        </w:rPr>
        <w:t>截止月底</w:t>
      </w:r>
      <w:r w:rsidR="00780462" w:rsidRPr="00C15F43">
        <w:rPr>
          <w:rFonts w:ascii="宋体" w:hAnsi="宋体" w:cs="宋体" w:hint="eastAsia"/>
          <w:kern w:val="0"/>
          <w:sz w:val="28"/>
          <w:szCs w:val="28"/>
        </w:rPr>
        <w:t>，</w:t>
      </w:r>
      <w:r w:rsidR="00780462" w:rsidRPr="00C15F43">
        <w:rPr>
          <w:rFonts w:ascii="宋体" w:hAnsi="宋体" w:cs="宋体"/>
          <w:kern w:val="0"/>
          <w:sz w:val="28"/>
          <w:szCs w:val="28"/>
        </w:rPr>
        <w:t>上期所黄金仓单为 3,600千克，较此前一周下降252千克。白银仓单则是出现了14,898千克的上涨至2,457,567 千克。而在 Comex 库存方面，上周 Comex 黄金库存下降 314,788.62 盎司至 34,517,396.30 盎司，而 Comex 白银库存则是出现了 1,415,556.50 盎司的下降至 361,253,823.60 盎司</w:t>
      </w:r>
      <w:r w:rsidRPr="00C15F43">
        <w:rPr>
          <w:rFonts w:ascii="宋体" w:hAnsi="宋体" w:cs="宋体"/>
          <w:kern w:val="0"/>
          <w:sz w:val="28"/>
          <w:szCs w:val="28"/>
        </w:rPr>
        <w:t>。</w:t>
      </w:r>
    </w:p>
    <w:p w:rsidR="005B3689" w:rsidRDefault="00B8196A" w:rsidP="00F80A9E">
      <w:pPr>
        <w:pStyle w:val="3"/>
        <w:numPr>
          <w:ilvl w:val="0"/>
          <w:numId w:val="2"/>
        </w:numPr>
        <w:spacing w:before="100" w:after="100" w:line="240" w:lineRule="auto"/>
        <w:ind w:left="0" w:firstLineChars="0" w:firstLine="0"/>
        <w:rPr>
          <w:szCs w:val="28"/>
        </w:rPr>
      </w:pPr>
      <w:bookmarkStart w:id="10" w:name="_Toc21971225"/>
      <w:r w:rsidRPr="008F28C7">
        <w:rPr>
          <w:rFonts w:hint="eastAsia"/>
          <w:szCs w:val="28"/>
        </w:rPr>
        <w:lastRenderedPageBreak/>
        <w:t>需求</w:t>
      </w:r>
      <w:bookmarkEnd w:id="10"/>
    </w:p>
    <w:p w:rsidR="00D70944" w:rsidRDefault="00B8196A" w:rsidP="00C15F43">
      <w:pPr>
        <w:pStyle w:val="ac"/>
        <w:ind w:firstLineChars="200" w:firstLine="560"/>
        <w:rPr>
          <w:sz w:val="28"/>
          <w:szCs w:val="28"/>
        </w:rPr>
      </w:pPr>
      <w:r w:rsidRPr="00D70944">
        <w:rPr>
          <w:sz w:val="28"/>
          <w:szCs w:val="28"/>
        </w:rPr>
        <w:t>由于</w:t>
      </w:r>
      <w:r w:rsidR="00DB5C58" w:rsidRPr="00D70944">
        <w:rPr>
          <w:rFonts w:hint="eastAsia"/>
          <w:sz w:val="28"/>
          <w:szCs w:val="28"/>
        </w:rPr>
        <w:t>白</w:t>
      </w:r>
      <w:r w:rsidR="00DB5C58" w:rsidRPr="00D70944">
        <w:rPr>
          <w:sz w:val="28"/>
          <w:szCs w:val="28"/>
        </w:rPr>
        <w:t>银价格的</w:t>
      </w:r>
      <w:r w:rsidR="00DB5C58" w:rsidRPr="00D70944">
        <w:rPr>
          <w:rFonts w:hint="eastAsia"/>
          <w:sz w:val="28"/>
          <w:szCs w:val="28"/>
        </w:rPr>
        <w:t>金融属性</w:t>
      </w:r>
      <w:r w:rsidR="00DB5C58" w:rsidRPr="00D70944">
        <w:rPr>
          <w:sz w:val="28"/>
          <w:szCs w:val="28"/>
        </w:rPr>
        <w:t>前景相对</w:t>
      </w:r>
      <w:r w:rsidR="00DB5C58" w:rsidRPr="00D70944">
        <w:rPr>
          <w:rFonts w:hint="eastAsia"/>
          <w:sz w:val="28"/>
          <w:szCs w:val="28"/>
        </w:rPr>
        <w:t>黄金</w:t>
      </w:r>
      <w:r w:rsidR="00DB5C58" w:rsidRPr="00D70944">
        <w:rPr>
          <w:sz w:val="28"/>
          <w:szCs w:val="28"/>
        </w:rPr>
        <w:t>较差</w:t>
      </w:r>
      <w:r w:rsidR="00DB5C58" w:rsidRPr="00D70944">
        <w:rPr>
          <w:rFonts w:hint="eastAsia"/>
          <w:sz w:val="28"/>
          <w:szCs w:val="28"/>
        </w:rPr>
        <w:t>，</w:t>
      </w:r>
      <w:r w:rsidRPr="00D70944">
        <w:rPr>
          <w:sz w:val="28"/>
          <w:szCs w:val="28"/>
        </w:rPr>
        <w:t>白银的商品属性相对黄金更强，</w:t>
      </w:r>
      <w:r w:rsidR="00F0647E" w:rsidRPr="00D70944">
        <w:rPr>
          <w:sz w:val="28"/>
          <w:szCs w:val="28"/>
        </w:rPr>
        <w:t>白银的需求中，有5</w:t>
      </w:r>
      <w:r w:rsidR="00D70944" w:rsidRPr="00D70944">
        <w:rPr>
          <w:rFonts w:hint="eastAsia"/>
          <w:sz w:val="28"/>
          <w:szCs w:val="28"/>
        </w:rPr>
        <w:t>8</w:t>
      </w:r>
      <w:r w:rsidR="00F0647E" w:rsidRPr="00D70944">
        <w:rPr>
          <w:sz w:val="28"/>
          <w:szCs w:val="28"/>
        </w:rPr>
        <w:t>%</w:t>
      </w:r>
      <w:r w:rsidR="00D70944" w:rsidRPr="00D70944">
        <w:rPr>
          <w:sz w:val="28"/>
          <w:szCs w:val="28"/>
        </w:rPr>
        <w:t>以上与工业需求相关，</w:t>
      </w:r>
      <w:r w:rsidR="00D70944" w:rsidRPr="00D70944">
        <w:rPr>
          <w:rFonts w:hint="eastAsia"/>
          <w:sz w:val="28"/>
          <w:szCs w:val="28"/>
        </w:rPr>
        <w:t>银币需求是14%左右，</w:t>
      </w:r>
      <w:r w:rsidR="00F0647E" w:rsidRPr="00D70944">
        <w:rPr>
          <w:sz w:val="28"/>
          <w:szCs w:val="28"/>
        </w:rPr>
        <w:t>白银的价格对经济增速更为敏感。</w:t>
      </w:r>
      <w:r w:rsidR="00D70944" w:rsidRPr="00D70944">
        <w:rPr>
          <w:rFonts w:hint="eastAsia"/>
          <w:sz w:val="28"/>
          <w:szCs w:val="28"/>
        </w:rPr>
        <w:t>需求细分项分析来看，除了珠宝消费，其他各项消费近10年复合增长率均为负数，珠宝消费为1.65%，银币消费数目大大减少，这也反映了社会对白银的消费观念的改变。工业需求内，光伏产业白银复合增长率为正，其余均为负数，用于摄影的白银消费急剧下降，复合增长率为-7.71%，未来工业需求的增长点更多是取决于光伏或者其他新兴产业，工业需求对价格的推动作用有限。</w:t>
      </w:r>
    </w:p>
    <w:p w:rsidR="00D70944" w:rsidRPr="000151FF" w:rsidRDefault="00B8196A" w:rsidP="00C15F43">
      <w:pPr>
        <w:pStyle w:val="ac"/>
        <w:ind w:firstLineChars="200" w:firstLine="560"/>
        <w:rPr>
          <w:sz w:val="28"/>
          <w:szCs w:val="28"/>
        </w:rPr>
      </w:pPr>
      <w:r w:rsidRPr="00D70944">
        <w:rPr>
          <w:sz w:val="28"/>
          <w:szCs w:val="28"/>
        </w:rPr>
        <w:t>目前</w:t>
      </w:r>
      <w:r w:rsidR="00D70944" w:rsidRPr="00B311F6">
        <w:rPr>
          <w:rFonts w:hint="eastAsia"/>
          <w:sz w:val="28"/>
          <w:szCs w:val="28"/>
        </w:rPr>
        <w:t>首饰和传统的电子行业需求稳定，</w:t>
      </w:r>
      <w:r w:rsidR="00D70944">
        <w:rPr>
          <w:rFonts w:hint="eastAsia"/>
          <w:sz w:val="28"/>
          <w:szCs w:val="28"/>
        </w:rPr>
        <w:t>支撑</w:t>
      </w:r>
      <w:r w:rsidR="00D70944">
        <w:rPr>
          <w:sz w:val="28"/>
          <w:szCs w:val="28"/>
        </w:rPr>
        <w:t>白银价格</w:t>
      </w:r>
      <w:r w:rsidR="00F0647E" w:rsidRPr="00D70944">
        <w:rPr>
          <w:sz w:val="28"/>
          <w:szCs w:val="28"/>
        </w:rPr>
        <w:t>的重要推动力是2021</w:t>
      </w:r>
      <w:r w:rsidR="005A21F5" w:rsidRPr="00D70944">
        <w:rPr>
          <w:sz w:val="28"/>
          <w:szCs w:val="28"/>
        </w:rPr>
        <w:t>年工业消费</w:t>
      </w:r>
      <w:r w:rsidR="00F0647E" w:rsidRPr="00D70944">
        <w:rPr>
          <w:sz w:val="28"/>
          <w:szCs w:val="28"/>
        </w:rPr>
        <w:t>复苏</w:t>
      </w:r>
      <w:r w:rsidR="005A21F5" w:rsidRPr="00D70944">
        <w:rPr>
          <w:rFonts w:hint="eastAsia"/>
          <w:sz w:val="28"/>
          <w:szCs w:val="28"/>
        </w:rPr>
        <w:t>，</w:t>
      </w:r>
      <w:r w:rsidR="00956A9E" w:rsidRPr="00D70944">
        <w:rPr>
          <w:sz w:val="28"/>
          <w:szCs w:val="28"/>
        </w:rPr>
        <w:t>经济复苏、新能源发展、5G发展等都将提振白银的工业需求。</w:t>
      </w:r>
      <w:r w:rsidR="00956A9E" w:rsidRPr="00D70944">
        <w:rPr>
          <w:rFonts w:hint="eastAsia"/>
          <w:sz w:val="28"/>
          <w:szCs w:val="28"/>
        </w:rPr>
        <w:t>其他</w:t>
      </w:r>
      <w:r w:rsidR="005A21F5" w:rsidRPr="00B311F6">
        <w:rPr>
          <w:rFonts w:hint="eastAsia"/>
          <w:sz w:val="28"/>
          <w:szCs w:val="28"/>
        </w:rPr>
        <w:t>国家初露端倪的经济复苏迹象，可能也有助于对太阳能电池板和电子产品所用金属（包括银在内）的需求复苏</w:t>
      </w:r>
      <w:r w:rsidR="00F0647E" w:rsidRPr="00B311F6">
        <w:rPr>
          <w:sz w:val="28"/>
          <w:szCs w:val="28"/>
        </w:rPr>
        <w:t>。</w:t>
      </w:r>
    </w:p>
    <w:p w:rsidR="00D70944" w:rsidRPr="00B311F6" w:rsidRDefault="000151FF" w:rsidP="00C15F43">
      <w:pPr>
        <w:pStyle w:val="ac"/>
        <w:ind w:firstLineChars="200" w:firstLine="560"/>
        <w:rPr>
          <w:sz w:val="28"/>
          <w:szCs w:val="28"/>
        </w:rPr>
      </w:pPr>
      <w:r w:rsidRPr="000151FF">
        <w:rPr>
          <w:sz w:val="28"/>
          <w:szCs w:val="28"/>
        </w:rPr>
        <w:t>光伏行业的发展将是全球实现碳中和中的重要一环。</w:t>
      </w:r>
      <w:r w:rsidRPr="00C15F43">
        <w:rPr>
          <w:sz w:val="28"/>
          <w:szCs w:val="28"/>
        </w:rPr>
        <w:t>过去几年间全球光伏装机量稳步增长，趋势仍将延续。过去十年，太阳能新增发电量依次超过了煤炭、 风能及天然气。</w:t>
      </w:r>
      <w:r w:rsidRPr="000151FF">
        <w:rPr>
          <w:sz w:val="28"/>
          <w:szCs w:val="28"/>
        </w:rPr>
        <w:t>随着疫情缓解经济复苏动力增强，及全球新能源发展趋势下光伏电池和新能源汽车需求获得推升，白银工业需求增加确定性较高。</w:t>
      </w:r>
      <w:r w:rsidR="00D70944" w:rsidRPr="000151FF">
        <w:rPr>
          <w:sz w:val="28"/>
          <w:szCs w:val="28"/>
        </w:rPr>
        <w:t>光伏行业是</w:t>
      </w:r>
      <w:r w:rsidR="00D70944" w:rsidRPr="000151FF">
        <w:rPr>
          <w:rFonts w:hint="eastAsia"/>
          <w:sz w:val="28"/>
          <w:szCs w:val="28"/>
        </w:rPr>
        <w:t>白银</w:t>
      </w:r>
      <w:r w:rsidR="00D70944" w:rsidRPr="000151FF">
        <w:rPr>
          <w:sz w:val="28"/>
          <w:szCs w:val="28"/>
        </w:rPr>
        <w:t>最重要的下游应用之一，在光伏领域，银浆是光伏电池的重要组</w:t>
      </w:r>
      <w:r w:rsidR="00D70944" w:rsidRPr="00B311F6">
        <w:rPr>
          <w:sz w:val="28"/>
          <w:szCs w:val="28"/>
        </w:rPr>
        <w:t>成成分，常被应用于正背面电极中。</w:t>
      </w:r>
      <w:r w:rsidR="00886878" w:rsidRPr="00B311F6">
        <w:rPr>
          <w:sz w:val="28"/>
          <w:szCs w:val="28"/>
        </w:rPr>
        <w:t>世界白银协会数据显示，2019 年光伏材料需求占据白银</w:t>
      </w:r>
      <w:r w:rsidR="00886878" w:rsidRPr="00B311F6">
        <w:rPr>
          <w:sz w:val="28"/>
          <w:szCs w:val="28"/>
        </w:rPr>
        <w:lastRenderedPageBreak/>
        <w:t>工业需求的近 20%，占据白银总需求比例约 10%，白银在光伏领域的需求在未来或将迎来明显增量。</w:t>
      </w:r>
      <w:r w:rsidR="003C36D3" w:rsidRPr="00B311F6">
        <w:rPr>
          <w:sz w:val="28"/>
          <w:szCs w:val="28"/>
        </w:rPr>
        <w:t>目前在国内，随着环保政策的倾斜和光伏平价上网时代的临近，白银的工业需求有望实现周期性的复苏。</w:t>
      </w:r>
      <w:r w:rsidR="00F0647E" w:rsidRPr="00B311F6">
        <w:rPr>
          <w:rFonts w:hint="eastAsia"/>
          <w:sz w:val="28"/>
          <w:szCs w:val="28"/>
        </w:rPr>
        <w:t>但是</w:t>
      </w:r>
      <w:r w:rsidR="00A5513B" w:rsidRPr="00C15F43">
        <w:rPr>
          <w:sz w:val="28"/>
          <w:szCs w:val="28"/>
        </w:rPr>
        <w:t>白银在光伏领域的工业需求近三年来却未见明显增长，维持在 100 百万盎司/年水平，主要是单位用银量下降所致。白银的高价使得光伏电池生产商有缩减成本需求，制作工艺和技术的进步也使得白银 减量需求得以兑现。目前普遍采用的做法是通过增加电池上主栅数量、印制更细的细栅减少银浆的使用， 或者是用其他相对价格更低的金属替代白银。中国光伏行业协会数据显示，9 主栅相比 5 主栅电池片银浆用量减少 25%。随着多主栅技术的进步和推广，单位用银量未来下降仍是主要趋势。然而通过用其他金属 替代白银可以降低使用银量及原料成本，但同时会带来质量和可靠性的下降，可能会导致电池出现功率退化、电阻增大、寿命缩短的问题。</w:t>
      </w:r>
    </w:p>
    <w:p w:rsidR="00155082" w:rsidRPr="00235DC3" w:rsidRDefault="00155082" w:rsidP="00155082">
      <w:pPr>
        <w:pStyle w:val="a"/>
      </w:pPr>
      <w:r>
        <w:t>光伏价格指数：电子元件</w:t>
      </w:r>
      <w:r>
        <w:t xml:space="preserve"> </w:t>
      </w:r>
      <w:r>
        <w:t>单位：点</w:t>
      </w:r>
    </w:p>
    <w:p w:rsidR="00155082" w:rsidRPr="00155082" w:rsidRDefault="006B6F4E" w:rsidP="00155082">
      <w:pPr>
        <w:pStyle w:val="a"/>
        <w:numPr>
          <w:ilvl w:val="0"/>
          <w:numId w:val="0"/>
        </w:numPr>
        <w:rPr>
          <w:kern w:val="0"/>
        </w:rPr>
      </w:pPr>
      <w:r>
        <w:rPr>
          <w:noProof/>
          <w:kern w:val="0"/>
        </w:rPr>
        <w:drawing>
          <wp:inline distT="0" distB="0" distL="0" distR="0">
            <wp:extent cx="4324350" cy="2315818"/>
            <wp:effectExtent l="19050" t="0" r="0" b="0"/>
            <wp:docPr id="16" name="图片 5" descr="C:\Users\WUYAOZ~1\AppData\Local\Temp\162028945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UYAOZ~1\AppData\Local\Temp\1620289459(1).png"/>
                    <pic:cNvPicPr>
                      <a:picLocks noChangeAspect="1" noChangeArrowheads="1"/>
                    </pic:cNvPicPr>
                  </pic:nvPicPr>
                  <pic:blipFill>
                    <a:blip r:embed="rId18"/>
                    <a:srcRect/>
                    <a:stretch>
                      <a:fillRect/>
                    </a:stretch>
                  </pic:blipFill>
                  <pic:spPr bwMode="auto">
                    <a:xfrm>
                      <a:off x="0" y="0"/>
                      <a:ext cx="4324561" cy="2315931"/>
                    </a:xfrm>
                    <a:prstGeom prst="rect">
                      <a:avLst/>
                    </a:prstGeom>
                    <a:noFill/>
                    <a:ln w="9525">
                      <a:noFill/>
                      <a:miter lim="800000"/>
                      <a:headEnd/>
                      <a:tailEnd/>
                    </a:ln>
                  </pic:spPr>
                </pic:pic>
              </a:graphicData>
            </a:graphic>
          </wp:inline>
        </w:drawing>
      </w:r>
    </w:p>
    <w:p w:rsidR="00F0647E" w:rsidRDefault="00155082" w:rsidP="00EE3FB0">
      <w:pPr>
        <w:pStyle w:val="ac"/>
        <w:ind w:firstLineChars="2250" w:firstLine="5400"/>
        <w:rPr>
          <w:rFonts w:asciiTheme="minorEastAsia" w:eastAsiaTheme="minorEastAsia" w:hAnsiTheme="minorEastAsia"/>
          <w:sz w:val="28"/>
          <w:szCs w:val="28"/>
        </w:rPr>
      </w:pPr>
      <w:r w:rsidRPr="00450B01">
        <w:rPr>
          <w:rFonts w:hint="eastAsia"/>
        </w:rPr>
        <w:t>数据来源：民生期货、WIND</w:t>
      </w:r>
    </w:p>
    <w:p w:rsidR="00C15F43" w:rsidRDefault="00C15F43" w:rsidP="00C15F43">
      <w:pPr>
        <w:pStyle w:val="ac"/>
        <w:ind w:firstLineChars="200" w:firstLine="560"/>
        <w:rPr>
          <w:sz w:val="28"/>
          <w:szCs w:val="28"/>
        </w:rPr>
      </w:pPr>
    </w:p>
    <w:p w:rsidR="00C15F43" w:rsidRPr="00C15F43" w:rsidRDefault="00C15F43" w:rsidP="00C15F43">
      <w:pPr>
        <w:pStyle w:val="ac"/>
        <w:ind w:firstLineChars="200" w:firstLine="560"/>
        <w:rPr>
          <w:sz w:val="28"/>
          <w:szCs w:val="28"/>
        </w:rPr>
      </w:pPr>
      <w:r w:rsidRPr="00B311F6">
        <w:rPr>
          <w:sz w:val="28"/>
          <w:szCs w:val="28"/>
        </w:rPr>
        <w:lastRenderedPageBreak/>
        <w:t>从光伏设备的价格上可以看出，目前光伏综合价格指数呈现出了较为明显的回升，几乎回到了去年的水平，这或许目前国内对于清洁能源的大力提倡有着较为密切的关系，不过这同样会在一定程度上影响光伏发电进一步的推广，而这则是需要国家层面更进一步的支持。</w:t>
      </w:r>
    </w:p>
    <w:p w:rsidR="00886878" w:rsidRPr="00C15F43" w:rsidRDefault="00A5513B" w:rsidP="00C15F43">
      <w:pPr>
        <w:pStyle w:val="ac"/>
        <w:ind w:firstLineChars="200" w:firstLine="560"/>
        <w:rPr>
          <w:sz w:val="28"/>
          <w:szCs w:val="28"/>
        </w:rPr>
      </w:pPr>
      <w:r w:rsidRPr="00C15F43">
        <w:rPr>
          <w:sz w:val="28"/>
          <w:szCs w:val="28"/>
        </w:rPr>
        <w:t>2021 年 4 月，中美发表应对气候危机联合声明，并讨论 21 世纪 20 年代为解决气候危机将采取的具体减排行动，旨在使与巴黎协定相符的温升限制目标可以实现，其中着重探讨了增加可再生能源的部署。近期我国国家能源局综合司首次提出风电、光伏发电量占比到 2025 年达 16.5%左右的目标。根据《征求意见 稿》，2021年风电、光伏发电发电量占全社会用电量的比重达到 11%左右。这就意味着，2021 年风电和光伏发电比重将提升 1.3 个百分点左右。市场据此推测，今年风电光伏并网装机可能在 1.1 亿千瓦左右。和 此前不一样的是，此轮《征求意见稿》首次明确，风电、光伏发电量占全社会用电量的比重将逐年提高， 到 2025 年达到 16.5%左右。另外，拜登在基建计划中倡议对风力、太阳能和其他可再生能源项目的税项优惠政策延长 10 年，要求更多电力来自低碳能源，目标是到 2035 年消除电网中的碳排放。并于近期进一步提出计划宣布在 2030 年前将碳排放量至少减半</w:t>
      </w:r>
      <w:r w:rsidR="00886878" w:rsidRPr="00C15F43">
        <w:rPr>
          <w:sz w:val="28"/>
          <w:szCs w:val="28"/>
        </w:rPr>
        <w:t>。</w:t>
      </w:r>
    </w:p>
    <w:p w:rsidR="00A5513B" w:rsidRPr="00C15F43" w:rsidRDefault="00A5513B" w:rsidP="00C15F43">
      <w:pPr>
        <w:pStyle w:val="ac"/>
        <w:ind w:firstLineChars="200" w:firstLine="560"/>
        <w:rPr>
          <w:sz w:val="28"/>
          <w:szCs w:val="28"/>
        </w:rPr>
      </w:pPr>
      <w:r w:rsidRPr="00C15F43">
        <w:rPr>
          <w:sz w:val="28"/>
          <w:szCs w:val="28"/>
        </w:rPr>
        <w:t>预计到 2025 年，年光伏用银量在乐观情形下将增加 80 百万盎司；中性情形下将增加 60 百万盎司；悲观情形下将增加 40 百万盎司。虽然随着工艺改善和技术进步单位用银量未来将缩减，但在全球</w:t>
      </w:r>
      <w:r w:rsidRPr="00C15F43">
        <w:rPr>
          <w:sz w:val="28"/>
          <w:szCs w:val="28"/>
        </w:rPr>
        <w:lastRenderedPageBreak/>
        <w:t>推进碳中和清洁能源发展的 大环境下，光伏装机增量将成为光伏用银需求上升的主要驱动力。</w:t>
      </w:r>
    </w:p>
    <w:p w:rsidR="00A5513B" w:rsidRPr="00C15F43" w:rsidRDefault="00A5513B" w:rsidP="00C15F43">
      <w:pPr>
        <w:pStyle w:val="ac"/>
        <w:ind w:firstLineChars="200" w:firstLine="560"/>
        <w:rPr>
          <w:sz w:val="28"/>
          <w:szCs w:val="28"/>
        </w:rPr>
      </w:pPr>
      <w:r w:rsidRPr="00C15F43">
        <w:rPr>
          <w:sz w:val="28"/>
          <w:szCs w:val="28"/>
        </w:rPr>
        <w:t>除了光伏电池领域，白银在新能源汽车领域的需求也有望实现可观的增长。新能源汽车，尤其是纯电 动汽车，在许多部件的应用中都依赖白银，包括镀银导线、触点等。这主要是由于白银具有良好的导电性 能，及抗氧化、抗腐蚀性。纯电动汽车（BEV）用银量远高于传统内燃机汽车（ICE）。BEV 汽车由于具有较 强的电气特性，且对能源管理系统有额外需求，每辆车的白银消耗量估计是 ICE 车的 1.6-2.2 倍。世界白 银协会报告预计 2021 年汽车用银需求将达到 61 百万盎司，并于 2025 年升至 90 百万盎司，接近光伏用银 的需求。在新能源经济发展趋势下，白银或将吸引更多投资者的注意，为白银在上涨行情中增加更多动力。</w:t>
      </w:r>
    </w:p>
    <w:p w:rsidR="00564A32" w:rsidRPr="00564A32" w:rsidRDefault="00564A32" w:rsidP="00564A32">
      <w:pPr>
        <w:pStyle w:val="ac"/>
        <w:ind w:firstLineChars="200" w:firstLine="560"/>
        <w:rPr>
          <w:rFonts w:asciiTheme="minorEastAsia" w:eastAsiaTheme="minorEastAsia" w:hAnsiTheme="minorEastAsia"/>
          <w:sz w:val="28"/>
          <w:szCs w:val="28"/>
        </w:rPr>
      </w:pPr>
      <w:r w:rsidRPr="00C15F43">
        <w:rPr>
          <w:sz w:val="28"/>
          <w:szCs w:val="28"/>
        </w:rPr>
        <w:t>世界白白银协会在一份报</w:t>
      </w:r>
      <w:r w:rsidRPr="00564A32">
        <w:rPr>
          <w:rFonts w:asciiTheme="minorEastAsia" w:eastAsiaTheme="minorEastAsia" w:hAnsiTheme="minorEastAsia"/>
          <w:sz w:val="28"/>
          <w:szCs w:val="28"/>
        </w:rPr>
        <w:t>告中表示：在宏观经济形势好转的背景下，预计2021年白银的主要需求将上升。主要体现在工业需求、实物投资、珠宝和白银器制造等关键领域。总需求预计将达到10.25亿盎司，增长11%，创8年新高。由于对银币和银条的需求增加，预计仅实物投资就将达到2.57亿盎司的六年高位。白银首饰需求有望复苏，但仍将低于新冠疫情前的水平。工业需求预计将达到四年来最高的5.1亿盎司，比2020年增长9%。来自电气和电子行业的需求将占据大部分涨幅。随着5G技术在消费电子领域的日益普及，预计该行业将推动白银出货量的显著增长。光伏行业在2020年下半年出现了强劲复苏，这种势头应该会持续到2021年。据估计，2021年光伏行</w:t>
      </w:r>
      <w:r w:rsidRPr="00564A32">
        <w:rPr>
          <w:rFonts w:asciiTheme="minorEastAsia" w:eastAsiaTheme="minorEastAsia" w:hAnsiTheme="minorEastAsia"/>
          <w:sz w:val="28"/>
          <w:szCs w:val="28"/>
        </w:rPr>
        <w:lastRenderedPageBreak/>
        <w:t>业的需求约为1.05亿盎司。该行业将受益于越来越多的国家正在安装新的光伏发电设备。</w:t>
      </w:r>
    </w:p>
    <w:p w:rsidR="00485748" w:rsidRPr="003C36D3" w:rsidRDefault="00961A5E" w:rsidP="003C36D3">
      <w:pPr>
        <w:pStyle w:val="a"/>
      </w:pPr>
      <w:r w:rsidRPr="003C36D3">
        <w:t xml:space="preserve">iShares Silver Trust </w:t>
      </w:r>
      <w:r w:rsidRPr="003C36D3">
        <w:t>白银持仓情况（单位：吨）</w:t>
      </w:r>
    </w:p>
    <w:p w:rsidR="00F1719C" w:rsidRPr="00155082" w:rsidRDefault="00780462" w:rsidP="00155082">
      <w:pPr>
        <w:pStyle w:val="a"/>
        <w:numPr>
          <w:ilvl w:val="0"/>
          <w:numId w:val="0"/>
        </w:numPr>
        <w:rPr>
          <w:kern w:val="0"/>
        </w:rPr>
      </w:pPr>
      <w:r>
        <w:rPr>
          <w:noProof/>
          <w:kern w:val="0"/>
        </w:rPr>
        <w:drawing>
          <wp:inline distT="0" distB="0" distL="0" distR="0">
            <wp:extent cx="3827393" cy="2027582"/>
            <wp:effectExtent l="19050" t="0" r="1657" b="0"/>
            <wp:docPr id="10" name="图片 3" descr="C:\Users\WUYAOZ~1\AppData\Local\Temp\162028929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UYAOZ~1\AppData\Local\Temp\1620289291(1).png"/>
                    <pic:cNvPicPr>
                      <a:picLocks noChangeAspect="1" noChangeArrowheads="1"/>
                    </pic:cNvPicPr>
                  </pic:nvPicPr>
                  <pic:blipFill>
                    <a:blip r:embed="rId19"/>
                    <a:srcRect/>
                    <a:stretch>
                      <a:fillRect/>
                    </a:stretch>
                  </pic:blipFill>
                  <pic:spPr bwMode="auto">
                    <a:xfrm>
                      <a:off x="0" y="0"/>
                      <a:ext cx="3827146" cy="2027451"/>
                    </a:xfrm>
                    <a:prstGeom prst="rect">
                      <a:avLst/>
                    </a:prstGeom>
                    <a:noFill/>
                    <a:ln w="9525">
                      <a:noFill/>
                      <a:miter lim="800000"/>
                      <a:headEnd/>
                      <a:tailEnd/>
                    </a:ln>
                  </pic:spPr>
                </pic:pic>
              </a:graphicData>
            </a:graphic>
          </wp:inline>
        </w:drawing>
      </w:r>
    </w:p>
    <w:p w:rsidR="009F522F" w:rsidRPr="003C36D3" w:rsidRDefault="00485748" w:rsidP="003C36D3">
      <w:pPr>
        <w:jc w:val="right"/>
        <w:rPr>
          <w:noProof/>
          <w:kern w:val="0"/>
        </w:rPr>
      </w:pPr>
      <w:r w:rsidRPr="003C36D3">
        <w:rPr>
          <w:rFonts w:hint="eastAsia"/>
          <w:noProof/>
          <w:kern w:val="0"/>
        </w:rPr>
        <w:t>数据来源：民生期货、</w:t>
      </w:r>
      <w:r w:rsidRPr="003C36D3">
        <w:rPr>
          <w:rFonts w:hint="eastAsia"/>
          <w:noProof/>
          <w:kern w:val="0"/>
        </w:rPr>
        <w:t>W</w:t>
      </w:r>
      <w:r w:rsidR="00961A5E" w:rsidRPr="003C36D3">
        <w:rPr>
          <w:rFonts w:hint="eastAsia"/>
          <w:noProof/>
          <w:kern w:val="0"/>
        </w:rPr>
        <w:t>IND</w:t>
      </w:r>
    </w:p>
    <w:p w:rsidR="00564A32" w:rsidRPr="00C15F43" w:rsidRDefault="003C36D3" w:rsidP="00535D93">
      <w:pPr>
        <w:pStyle w:val="ac"/>
        <w:ind w:firstLineChars="200" w:firstLine="560"/>
        <w:rPr>
          <w:sz w:val="28"/>
          <w:szCs w:val="28"/>
        </w:rPr>
      </w:pPr>
      <w:r w:rsidRPr="00535D93">
        <w:rPr>
          <w:rFonts w:asciiTheme="minorEastAsia" w:eastAsiaTheme="minorEastAsia" w:hAnsiTheme="minorEastAsia" w:hint="eastAsia"/>
          <w:sz w:val="28"/>
          <w:szCs w:val="28"/>
        </w:rPr>
        <w:t>金融需求方面，</w:t>
      </w:r>
      <w:r w:rsidRPr="00535D93">
        <w:rPr>
          <w:rFonts w:asciiTheme="minorEastAsia" w:eastAsiaTheme="minorEastAsia" w:hAnsiTheme="minorEastAsia"/>
          <w:sz w:val="28"/>
          <w:szCs w:val="28"/>
        </w:rPr>
        <w:t>衡量投资者情绪的 ETF持仓方面，金、银 ETF 的流动通常代</w:t>
      </w:r>
      <w:r w:rsidRPr="00C15F43">
        <w:rPr>
          <w:sz w:val="28"/>
          <w:szCs w:val="28"/>
        </w:rPr>
        <w:t>表投资者对未来市场的观点，以及其持有金、银的意愿，是衡量投资者情绪的重要指标之一</w:t>
      </w:r>
      <w:r w:rsidRPr="00C15F43">
        <w:rPr>
          <w:rFonts w:hint="eastAsia"/>
          <w:sz w:val="28"/>
          <w:szCs w:val="28"/>
        </w:rPr>
        <w:t>。</w:t>
      </w:r>
      <w:r w:rsidR="0047510C" w:rsidRPr="00C15F43">
        <w:rPr>
          <w:sz w:val="28"/>
          <w:szCs w:val="28"/>
        </w:rPr>
        <w:t>白银ETF录得连续十一周净流出</w:t>
      </w:r>
      <w:r w:rsidR="0047510C" w:rsidRPr="00C15F43">
        <w:rPr>
          <w:rFonts w:hint="eastAsia"/>
          <w:sz w:val="28"/>
          <w:szCs w:val="28"/>
        </w:rPr>
        <w:t>，</w:t>
      </w:r>
      <w:r w:rsidR="00D15282" w:rsidRPr="00C15F43">
        <w:rPr>
          <w:sz w:val="28"/>
          <w:szCs w:val="28"/>
        </w:rPr>
        <w:t>截止</w:t>
      </w:r>
      <w:r w:rsidR="00A22B3B" w:rsidRPr="00C15F43">
        <w:rPr>
          <w:rFonts w:hint="eastAsia"/>
          <w:sz w:val="28"/>
          <w:szCs w:val="28"/>
        </w:rPr>
        <w:t>4月</w:t>
      </w:r>
      <w:r w:rsidR="00EC334C" w:rsidRPr="00C15F43">
        <w:rPr>
          <w:rFonts w:hint="eastAsia"/>
          <w:sz w:val="28"/>
          <w:szCs w:val="28"/>
        </w:rPr>
        <w:t>22</w:t>
      </w:r>
      <w:r w:rsidR="00A22B3B" w:rsidRPr="00C15F43">
        <w:rPr>
          <w:rFonts w:hint="eastAsia"/>
          <w:sz w:val="28"/>
          <w:szCs w:val="28"/>
        </w:rPr>
        <w:t>日</w:t>
      </w:r>
      <w:r w:rsidR="00EC334C" w:rsidRPr="00C15F43">
        <w:rPr>
          <w:rFonts w:hint="eastAsia"/>
          <w:sz w:val="28"/>
          <w:szCs w:val="28"/>
        </w:rPr>
        <w:t>，</w:t>
      </w:r>
      <w:r w:rsidR="00EC334C" w:rsidRPr="00C15F43">
        <w:rPr>
          <w:sz w:val="28"/>
          <w:szCs w:val="28"/>
        </w:rPr>
        <w:t>全球最大黄金 ETF SPDR Gold Shares 的黄金持仓量</w:t>
      </w:r>
      <w:r w:rsidR="00EC334C" w:rsidRPr="00C15F43">
        <w:rPr>
          <w:rFonts w:hint="eastAsia"/>
          <w:sz w:val="28"/>
          <w:szCs w:val="28"/>
        </w:rPr>
        <w:t>，</w:t>
      </w:r>
      <w:r w:rsidR="00EC334C" w:rsidRPr="00C15F43">
        <w:rPr>
          <w:sz w:val="28"/>
          <w:szCs w:val="28"/>
        </w:rPr>
        <w:t>为 1021.70 吨，较 2021 年 3 月末减少 15.8 吨，降幅约 1.5%，下降速度有所放缓。全球最大白银 ETF iShares Silver Trust 的白银持有量为 17715.58 吨，较 2021 年 3 月末减少 172.78 吨，降幅约 1%，下降速度有所放缓。金、银 ETF 的流动通常代表投资者对未来市场的观点，以及其持有金、银的意愿，是衡量投资者情绪的重要指标之一，黄金市场看多情绪回落，白银市场看多情绪回落</w:t>
      </w:r>
      <w:r w:rsidR="00D15282" w:rsidRPr="00C15F43">
        <w:rPr>
          <w:sz w:val="28"/>
          <w:szCs w:val="28"/>
        </w:rPr>
        <w:t>。</w:t>
      </w:r>
    </w:p>
    <w:p w:rsidR="009F522F" w:rsidRPr="00C15F43" w:rsidRDefault="00564A32" w:rsidP="00535D93">
      <w:pPr>
        <w:pStyle w:val="ac"/>
        <w:ind w:firstLineChars="200" w:firstLine="560"/>
        <w:rPr>
          <w:sz w:val="28"/>
          <w:szCs w:val="28"/>
        </w:rPr>
      </w:pPr>
      <w:r w:rsidRPr="00C15F43">
        <w:rPr>
          <w:sz w:val="28"/>
          <w:szCs w:val="28"/>
        </w:rPr>
        <w:t>美国商品期货交易委员会公布的周度报告显示</w:t>
      </w:r>
      <w:r w:rsidR="0047510C" w:rsidRPr="00C15F43">
        <w:rPr>
          <w:rFonts w:hint="eastAsia"/>
          <w:sz w:val="28"/>
          <w:szCs w:val="28"/>
        </w:rPr>
        <w:t>，</w:t>
      </w:r>
      <w:r w:rsidR="0047510C" w:rsidRPr="00C15F43">
        <w:rPr>
          <w:sz w:val="28"/>
          <w:szCs w:val="28"/>
        </w:rPr>
        <w:t>截至4 月27日CFTC持仓数据显示，白银投机多头和黄金投机空头主导市场</w:t>
      </w:r>
      <w:r w:rsidR="00EC334C" w:rsidRPr="00C15F43">
        <w:rPr>
          <w:rFonts w:hint="eastAsia"/>
          <w:sz w:val="28"/>
          <w:szCs w:val="28"/>
        </w:rPr>
        <w:t>，</w:t>
      </w:r>
      <w:r w:rsidR="00EC334C" w:rsidRPr="00C15F43">
        <w:rPr>
          <w:sz w:val="28"/>
          <w:szCs w:val="28"/>
        </w:rPr>
        <w:t>CFTC 的</w:t>
      </w:r>
      <w:r w:rsidR="00EC334C" w:rsidRPr="00C15F43">
        <w:rPr>
          <w:sz w:val="28"/>
          <w:szCs w:val="28"/>
        </w:rPr>
        <w:lastRenderedPageBreak/>
        <w:t>期货黄金非商业性净多持仓为 181,498 张，较 2021 年 3 月底增加 13,970 张，市场黄金看多意愿有所回升；CFTC 的期货白银非商业性净多持仓为 41,681 张，较 2021 年 3 月底增加了 12,711 张，市场白银看多意愿回升</w:t>
      </w:r>
      <w:r w:rsidRPr="00C15F43">
        <w:rPr>
          <w:sz w:val="28"/>
          <w:szCs w:val="28"/>
        </w:rPr>
        <w:t>。</w:t>
      </w:r>
    </w:p>
    <w:p w:rsidR="009F522F" w:rsidRPr="00235DC3" w:rsidRDefault="009F522F" w:rsidP="009F522F">
      <w:pPr>
        <w:pStyle w:val="a"/>
      </w:pPr>
      <w:r>
        <w:rPr>
          <w:rFonts w:hint="eastAsia"/>
        </w:rPr>
        <w:t>白银</w:t>
      </w:r>
      <w:r>
        <w:rPr>
          <w:rFonts w:hint="eastAsia"/>
        </w:rPr>
        <w:t>CFTC</w:t>
      </w:r>
      <w:r w:rsidR="00122AE4">
        <w:rPr>
          <w:rFonts w:hint="eastAsia"/>
        </w:rPr>
        <w:t>净持仓</w:t>
      </w:r>
    </w:p>
    <w:p w:rsidR="009F522F" w:rsidRPr="00155082" w:rsidRDefault="00780462" w:rsidP="00155082">
      <w:pPr>
        <w:pStyle w:val="a"/>
        <w:numPr>
          <w:ilvl w:val="0"/>
          <w:numId w:val="0"/>
        </w:numPr>
        <w:rPr>
          <w:kern w:val="0"/>
        </w:rPr>
      </w:pPr>
      <w:r>
        <w:rPr>
          <w:noProof/>
          <w:kern w:val="0"/>
        </w:rPr>
        <w:drawing>
          <wp:inline distT="0" distB="0" distL="0" distR="0">
            <wp:extent cx="3956602" cy="2375452"/>
            <wp:effectExtent l="19050" t="0" r="5798" b="0"/>
            <wp:docPr id="8" name="图片 2" descr="C:\Users\WUYAOZ~1\AppData\Local\Temp\162028925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UYAOZ~1\AppData\Local\Temp\1620289251(1).png"/>
                    <pic:cNvPicPr>
                      <a:picLocks noChangeAspect="1" noChangeArrowheads="1"/>
                    </pic:cNvPicPr>
                  </pic:nvPicPr>
                  <pic:blipFill>
                    <a:blip r:embed="rId20"/>
                    <a:srcRect/>
                    <a:stretch>
                      <a:fillRect/>
                    </a:stretch>
                  </pic:blipFill>
                  <pic:spPr bwMode="auto">
                    <a:xfrm>
                      <a:off x="0" y="0"/>
                      <a:ext cx="3957023" cy="2375705"/>
                    </a:xfrm>
                    <a:prstGeom prst="rect">
                      <a:avLst/>
                    </a:prstGeom>
                    <a:noFill/>
                    <a:ln w="9525">
                      <a:noFill/>
                      <a:miter lim="800000"/>
                      <a:headEnd/>
                      <a:tailEnd/>
                    </a:ln>
                  </pic:spPr>
                </pic:pic>
              </a:graphicData>
            </a:graphic>
          </wp:inline>
        </w:drawing>
      </w:r>
    </w:p>
    <w:p w:rsidR="00321980" w:rsidRPr="00564A32" w:rsidRDefault="009F522F" w:rsidP="00564A32">
      <w:pPr>
        <w:jc w:val="right"/>
        <w:rPr>
          <w:noProof/>
          <w:kern w:val="0"/>
        </w:rPr>
      </w:pPr>
      <w:r>
        <w:rPr>
          <w:rFonts w:hint="eastAsia"/>
          <w:noProof/>
          <w:kern w:val="0"/>
        </w:rPr>
        <w:t>数据来源：民生期货、</w:t>
      </w:r>
      <w:r>
        <w:rPr>
          <w:rFonts w:hint="eastAsia"/>
          <w:noProof/>
          <w:kern w:val="0"/>
        </w:rPr>
        <w:t>WIND</w:t>
      </w:r>
    </w:p>
    <w:p w:rsidR="005F10D6" w:rsidRDefault="00653DB9" w:rsidP="00535D93">
      <w:pPr>
        <w:pStyle w:val="1"/>
        <w:numPr>
          <w:ilvl w:val="0"/>
          <w:numId w:val="1"/>
        </w:numPr>
        <w:spacing w:before="240" w:after="240" w:line="240" w:lineRule="auto"/>
        <w:ind w:left="0" w:firstLine="0"/>
        <w:rPr>
          <w:szCs w:val="28"/>
        </w:rPr>
      </w:pPr>
      <w:bookmarkStart w:id="11" w:name="_Toc21971226"/>
      <w:r>
        <w:rPr>
          <w:rFonts w:hint="eastAsia"/>
          <w:szCs w:val="28"/>
        </w:rPr>
        <w:t>白银</w:t>
      </w:r>
      <w:r w:rsidRPr="00AC396B">
        <w:rPr>
          <w:rFonts w:hint="eastAsia"/>
          <w:szCs w:val="28"/>
        </w:rPr>
        <w:t>的技术分析</w:t>
      </w:r>
      <w:bookmarkEnd w:id="11"/>
    </w:p>
    <w:p w:rsidR="005F10D6" w:rsidRPr="00E30DDC" w:rsidRDefault="005F10D6" w:rsidP="005F10D6">
      <w:pPr>
        <w:pStyle w:val="a"/>
      </w:pPr>
      <w:r>
        <w:rPr>
          <w:rFonts w:hint="eastAsia"/>
        </w:rPr>
        <w:t>白银</w:t>
      </w:r>
      <w:r w:rsidR="003B3E42">
        <w:rPr>
          <w:rFonts w:hint="eastAsia"/>
        </w:rPr>
        <w:t>、黄金</w:t>
      </w:r>
      <w:r w:rsidRPr="00E30DDC">
        <w:rPr>
          <w:rFonts w:hint="eastAsia"/>
        </w:rPr>
        <w:t>指数周</w:t>
      </w:r>
      <w:r w:rsidRPr="00E30DDC">
        <w:t>K</w:t>
      </w:r>
      <w:r w:rsidRPr="00E30DDC">
        <w:rPr>
          <w:rFonts w:hint="eastAsia"/>
        </w:rPr>
        <w:t>线图</w:t>
      </w:r>
      <w:r w:rsidR="008E67F6">
        <w:rPr>
          <w:rFonts w:hint="eastAsia"/>
        </w:rPr>
        <w:t>(</w:t>
      </w:r>
      <w:r w:rsidR="008E67F6">
        <w:rPr>
          <w:rFonts w:hint="eastAsia"/>
        </w:rPr>
        <w:t>叠加黄金浅黄</w:t>
      </w:r>
      <w:r w:rsidR="008E67F6">
        <w:rPr>
          <w:rFonts w:hint="eastAsia"/>
        </w:rPr>
        <w:t>)</w:t>
      </w:r>
    </w:p>
    <w:p w:rsidR="005F10D6" w:rsidRPr="00F96907" w:rsidRDefault="00B71634" w:rsidP="00F96907">
      <w:pPr>
        <w:pStyle w:val="a"/>
        <w:numPr>
          <w:ilvl w:val="0"/>
          <w:numId w:val="0"/>
        </w:numPr>
        <w:rPr>
          <w:kern w:val="0"/>
        </w:rPr>
      </w:pPr>
      <w:r>
        <w:rPr>
          <w:noProof/>
          <w:kern w:val="0"/>
        </w:rPr>
        <w:drawing>
          <wp:inline distT="0" distB="0" distL="0" distR="0">
            <wp:extent cx="4133157" cy="2743200"/>
            <wp:effectExtent l="19050" t="0" r="693" b="0"/>
            <wp:docPr id="11" name="图片 3" descr="C:\Users\Administrator.PC-20180609PZTX\AppData\Roaming\Tencent\Users\459585606\QQ\WinTemp\RichOle\7E[S$6953LS6ALSD[RN3@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PC-20180609PZTX\AppData\Roaming\Tencent\Users\459585606\QQ\WinTemp\RichOle\7E[S$6953LS6ALSD[RN3@2B.png"/>
                    <pic:cNvPicPr>
                      <a:picLocks noChangeAspect="1" noChangeArrowheads="1"/>
                    </pic:cNvPicPr>
                  </pic:nvPicPr>
                  <pic:blipFill>
                    <a:blip r:embed="rId21"/>
                    <a:srcRect/>
                    <a:stretch>
                      <a:fillRect/>
                    </a:stretch>
                  </pic:blipFill>
                  <pic:spPr bwMode="auto">
                    <a:xfrm>
                      <a:off x="0" y="0"/>
                      <a:ext cx="4132539" cy="2742790"/>
                    </a:xfrm>
                    <a:prstGeom prst="rect">
                      <a:avLst/>
                    </a:prstGeom>
                    <a:noFill/>
                    <a:ln w="9525">
                      <a:noFill/>
                      <a:miter lim="800000"/>
                      <a:headEnd/>
                      <a:tailEnd/>
                    </a:ln>
                  </pic:spPr>
                </pic:pic>
              </a:graphicData>
            </a:graphic>
          </wp:inline>
        </w:drawing>
      </w:r>
    </w:p>
    <w:p w:rsidR="00535D93" w:rsidRPr="0032356D" w:rsidRDefault="005F10D6" w:rsidP="0032356D">
      <w:pPr>
        <w:ind w:firstLineChars="2500" w:firstLine="5250"/>
        <w:rPr>
          <w:noProof/>
          <w:kern w:val="0"/>
        </w:rPr>
      </w:pPr>
      <w:r>
        <w:rPr>
          <w:rFonts w:hint="eastAsia"/>
          <w:noProof/>
          <w:kern w:val="0"/>
        </w:rPr>
        <w:lastRenderedPageBreak/>
        <w:t>数据来源：民生期货、文华财经</w:t>
      </w:r>
    </w:p>
    <w:p w:rsidR="00107458" w:rsidRPr="00107458" w:rsidRDefault="00107458" w:rsidP="00107458">
      <w:pPr>
        <w:ind w:firstLineChars="200" w:firstLine="560"/>
        <w:jc w:val="left"/>
        <w:rPr>
          <w:rFonts w:asciiTheme="minorEastAsia" w:eastAsiaTheme="minorEastAsia" w:hAnsiTheme="minorEastAsia"/>
          <w:sz w:val="28"/>
          <w:szCs w:val="28"/>
        </w:rPr>
      </w:pPr>
      <w:r w:rsidRPr="0032356D">
        <w:rPr>
          <w:rFonts w:asciiTheme="minorEastAsia" w:eastAsiaTheme="minorEastAsia" w:hAnsiTheme="minorEastAsia"/>
          <w:sz w:val="28"/>
          <w:szCs w:val="28"/>
        </w:rPr>
        <w:t>白银</w:t>
      </w:r>
      <w:r w:rsidRPr="0032356D">
        <w:rPr>
          <w:rFonts w:asciiTheme="minorEastAsia" w:eastAsiaTheme="minorEastAsia" w:hAnsiTheme="minorEastAsia" w:hint="eastAsia"/>
          <w:sz w:val="28"/>
          <w:szCs w:val="28"/>
        </w:rPr>
        <w:t>从历史角度考虑,一般容易在一个区间比较复杂的盘整，走势纠缠</w:t>
      </w:r>
      <w:r>
        <w:rPr>
          <w:rFonts w:asciiTheme="minorEastAsia" w:eastAsiaTheme="minorEastAsia" w:hAnsiTheme="minorEastAsia" w:hint="eastAsia"/>
          <w:sz w:val="28"/>
          <w:szCs w:val="28"/>
        </w:rPr>
        <w:t>的</w:t>
      </w:r>
      <w:r w:rsidRPr="0032356D">
        <w:rPr>
          <w:rFonts w:asciiTheme="minorEastAsia" w:eastAsiaTheme="minorEastAsia" w:hAnsiTheme="minorEastAsia" w:hint="eastAsia"/>
          <w:sz w:val="28"/>
          <w:szCs w:val="28"/>
        </w:rPr>
        <w:t>让人昏昏欲睡，需要</w:t>
      </w:r>
      <w:r>
        <w:rPr>
          <w:rFonts w:asciiTheme="minorEastAsia" w:eastAsiaTheme="minorEastAsia" w:hAnsiTheme="minorEastAsia" w:hint="eastAsia"/>
          <w:sz w:val="28"/>
          <w:szCs w:val="28"/>
        </w:rPr>
        <w:t>冷静点</w:t>
      </w:r>
      <w:r w:rsidRPr="0032356D">
        <w:rPr>
          <w:rFonts w:asciiTheme="minorEastAsia" w:eastAsiaTheme="minorEastAsia" w:hAnsiTheme="minorEastAsia" w:hint="eastAsia"/>
          <w:sz w:val="28"/>
          <w:szCs w:val="28"/>
        </w:rPr>
        <w:t>利用周线观察市场走势</w:t>
      </w:r>
      <w:r>
        <w:rPr>
          <w:rFonts w:asciiTheme="minorEastAsia" w:eastAsiaTheme="minorEastAsia" w:hAnsiTheme="minorEastAsia" w:hint="eastAsia"/>
          <w:sz w:val="28"/>
          <w:szCs w:val="28"/>
        </w:rPr>
        <w:t>分析，</w:t>
      </w:r>
      <w:r w:rsidRPr="0032356D">
        <w:rPr>
          <w:rFonts w:asciiTheme="minorEastAsia" w:eastAsiaTheme="minorEastAsia" w:hAnsiTheme="minorEastAsia" w:hint="eastAsia"/>
          <w:sz w:val="28"/>
          <w:szCs w:val="28"/>
        </w:rPr>
        <w:t>比较容易发现</w:t>
      </w:r>
      <w:r>
        <w:rPr>
          <w:rFonts w:asciiTheme="minorEastAsia" w:eastAsiaTheme="minorEastAsia" w:hAnsiTheme="minorEastAsia" w:hint="eastAsia"/>
          <w:sz w:val="28"/>
          <w:szCs w:val="28"/>
        </w:rPr>
        <w:t>趋势</w:t>
      </w:r>
      <w:r w:rsidRPr="0032356D">
        <w:rPr>
          <w:rFonts w:asciiTheme="minorEastAsia" w:eastAsiaTheme="minorEastAsia" w:hAnsiTheme="minorEastAsia" w:hint="eastAsia"/>
          <w:sz w:val="28"/>
          <w:szCs w:val="28"/>
        </w:rPr>
        <w:t>机会</w:t>
      </w:r>
      <w:r>
        <w:rPr>
          <w:rFonts w:asciiTheme="minorEastAsia" w:eastAsiaTheme="minorEastAsia" w:hAnsiTheme="minorEastAsia" w:hint="eastAsia"/>
          <w:sz w:val="28"/>
          <w:szCs w:val="28"/>
        </w:rPr>
        <w:t>，今年由于全球资金充沛，其所内涵的工业品属性导致近期走势强于黄金，远景考虑白银的</w:t>
      </w:r>
      <w:r w:rsidRPr="00761EF3">
        <w:rPr>
          <w:rFonts w:asciiTheme="minorEastAsia" w:eastAsiaTheme="minorEastAsia" w:hAnsiTheme="minorEastAsia" w:hint="eastAsia"/>
          <w:sz w:val="28"/>
          <w:szCs w:val="28"/>
        </w:rPr>
        <w:t>大周期底部在去年疫情期间确立，自2020年3月20日起白银步入新一轮中长期周期，</w:t>
      </w:r>
      <w:r>
        <w:rPr>
          <w:rFonts w:asciiTheme="minorEastAsia" w:eastAsiaTheme="minorEastAsia" w:hAnsiTheme="minorEastAsia" w:hint="eastAsia"/>
          <w:sz w:val="28"/>
          <w:szCs w:val="28"/>
        </w:rPr>
        <w:t>现在的周线图是大区间偏强盘整整固阶段，</w:t>
      </w:r>
      <w:r w:rsidRPr="00761EF3">
        <w:rPr>
          <w:rFonts w:asciiTheme="minorEastAsia" w:eastAsiaTheme="minorEastAsia" w:hAnsiTheme="minorEastAsia" w:hint="eastAsia"/>
          <w:sz w:val="28"/>
          <w:szCs w:val="28"/>
        </w:rPr>
        <w:t>与有色金属指数波动相关性将显著提高，暂时可以根据震荡上涨区间的箱体结构设计复杂走势的上涨策略，可耐心等待回落到箱体下轨附近进行设计，或者依然按照三角形偏弱考虑未来拓展区间。</w:t>
      </w:r>
    </w:p>
    <w:p w:rsidR="00653DB9" w:rsidRDefault="00235DC3" w:rsidP="00235DC3">
      <w:pPr>
        <w:pStyle w:val="a"/>
      </w:pPr>
      <w:r>
        <w:rPr>
          <w:rFonts w:hint="eastAsia"/>
        </w:rPr>
        <w:t>白银</w:t>
      </w:r>
      <w:r w:rsidRPr="00A64CD1">
        <w:rPr>
          <w:rFonts w:hint="eastAsia"/>
        </w:rPr>
        <w:t>指数</w:t>
      </w:r>
      <w:r w:rsidR="000E4F25">
        <w:rPr>
          <w:rFonts w:hint="eastAsia"/>
        </w:rPr>
        <w:t>、黄金指数</w:t>
      </w:r>
      <w:r w:rsidRPr="00A64CD1">
        <w:rPr>
          <w:rFonts w:hint="eastAsia"/>
        </w:rPr>
        <w:t>日</w:t>
      </w:r>
      <w:r w:rsidRPr="00A64CD1">
        <w:t>K</w:t>
      </w:r>
      <w:r w:rsidRPr="00A64CD1">
        <w:rPr>
          <w:rFonts w:hint="eastAsia"/>
        </w:rPr>
        <w:t>线图</w:t>
      </w:r>
    </w:p>
    <w:p w:rsidR="00653DB9" w:rsidRPr="00B71634" w:rsidRDefault="00B71634" w:rsidP="00B71634">
      <w:pPr>
        <w:pStyle w:val="a"/>
        <w:numPr>
          <w:ilvl w:val="0"/>
          <w:numId w:val="0"/>
        </w:numPr>
        <w:rPr>
          <w:kern w:val="0"/>
        </w:rPr>
      </w:pPr>
      <w:r>
        <w:rPr>
          <w:noProof/>
          <w:kern w:val="0"/>
        </w:rPr>
        <w:drawing>
          <wp:inline distT="0" distB="0" distL="0" distR="0">
            <wp:extent cx="4558616" cy="2773018"/>
            <wp:effectExtent l="19050" t="0" r="0" b="0"/>
            <wp:docPr id="14" name="图片 5" descr="C:\Users\Administrator.PC-20180609PZTX\AppData\Roaming\Tencent\Users\459585606\QQ\WinTemp\RichOle\`}WOF4D9XU90UC{2XE`RLI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PC-20180609PZTX\AppData\Roaming\Tencent\Users\459585606\QQ\WinTemp\RichOle\`}WOF4D9XU90UC{2XE`RLI6.png"/>
                    <pic:cNvPicPr>
                      <a:picLocks noChangeAspect="1" noChangeArrowheads="1"/>
                    </pic:cNvPicPr>
                  </pic:nvPicPr>
                  <pic:blipFill>
                    <a:blip r:embed="rId22"/>
                    <a:srcRect/>
                    <a:stretch>
                      <a:fillRect/>
                    </a:stretch>
                  </pic:blipFill>
                  <pic:spPr bwMode="auto">
                    <a:xfrm>
                      <a:off x="0" y="0"/>
                      <a:ext cx="4559462" cy="2773533"/>
                    </a:xfrm>
                    <a:prstGeom prst="rect">
                      <a:avLst/>
                    </a:prstGeom>
                    <a:noFill/>
                    <a:ln w="9525">
                      <a:noFill/>
                      <a:miter lim="800000"/>
                      <a:headEnd/>
                      <a:tailEnd/>
                    </a:ln>
                  </pic:spPr>
                </pic:pic>
              </a:graphicData>
            </a:graphic>
          </wp:inline>
        </w:drawing>
      </w:r>
    </w:p>
    <w:p w:rsidR="004B7C47" w:rsidRDefault="00653DB9" w:rsidP="00965965">
      <w:pPr>
        <w:ind w:firstLineChars="2550" w:firstLine="5355"/>
        <w:jc w:val="left"/>
        <w:rPr>
          <w:noProof/>
          <w:kern w:val="0"/>
        </w:rPr>
      </w:pPr>
      <w:r>
        <w:rPr>
          <w:rFonts w:hint="eastAsia"/>
          <w:noProof/>
          <w:kern w:val="0"/>
        </w:rPr>
        <w:t>数据来源：民生期货、文华财经</w:t>
      </w:r>
    </w:p>
    <w:p w:rsidR="00107458" w:rsidRPr="00107458" w:rsidRDefault="00107458" w:rsidP="00107458">
      <w:pPr>
        <w:pStyle w:val="ac"/>
        <w:shd w:val="clear" w:color="auto" w:fill="FFFFFF"/>
        <w:ind w:firstLineChars="200" w:firstLine="560"/>
        <w:rPr>
          <w:rFonts w:asciiTheme="minorEastAsia" w:eastAsiaTheme="minorEastAsia" w:hAnsiTheme="minorEastAsia"/>
          <w:sz w:val="28"/>
          <w:szCs w:val="28"/>
        </w:rPr>
      </w:pPr>
      <w:r w:rsidRPr="0032356D">
        <w:rPr>
          <w:rFonts w:asciiTheme="minorEastAsia" w:eastAsiaTheme="minorEastAsia" w:hAnsiTheme="minorEastAsia" w:hint="eastAsia"/>
          <w:sz w:val="28"/>
          <w:szCs w:val="28"/>
        </w:rPr>
        <w:t>目前白银日线是</w:t>
      </w:r>
      <w:r>
        <w:rPr>
          <w:rFonts w:asciiTheme="minorEastAsia" w:eastAsiaTheme="minorEastAsia" w:hAnsiTheme="minorEastAsia" w:hint="eastAsia"/>
          <w:sz w:val="28"/>
          <w:szCs w:val="28"/>
        </w:rPr>
        <w:t>相对简单的盘整横盘</w:t>
      </w:r>
      <w:r w:rsidRPr="0032356D">
        <w:rPr>
          <w:rFonts w:asciiTheme="minorEastAsia" w:eastAsiaTheme="minorEastAsia" w:hAnsiTheme="minorEastAsia" w:hint="eastAsia"/>
          <w:sz w:val="28"/>
          <w:szCs w:val="28"/>
        </w:rPr>
        <w:t>走势，</w:t>
      </w:r>
      <w:r>
        <w:rPr>
          <w:rFonts w:asciiTheme="minorEastAsia" w:eastAsiaTheme="minorEastAsia" w:hAnsiTheme="minorEastAsia" w:hint="eastAsia"/>
          <w:sz w:val="28"/>
          <w:szCs w:val="28"/>
        </w:rPr>
        <w:t>属于有箱体支撑的上涨通道，接近下轨后</w:t>
      </w:r>
      <w:r w:rsidRPr="00007D04">
        <w:rPr>
          <w:rFonts w:asciiTheme="minorEastAsia" w:eastAsiaTheme="minorEastAsia" w:hAnsiTheme="minorEastAsia" w:hint="eastAsia"/>
          <w:sz w:val="28"/>
          <w:szCs w:val="28"/>
        </w:rPr>
        <w:t>阶梯式震荡上行，然后在区间内反复，巩固一定价格后破阻</w:t>
      </w:r>
      <w:r>
        <w:rPr>
          <w:rFonts w:asciiTheme="minorEastAsia" w:eastAsiaTheme="minorEastAsia" w:hAnsiTheme="minorEastAsia" w:hint="eastAsia"/>
          <w:sz w:val="28"/>
          <w:szCs w:val="28"/>
        </w:rPr>
        <w:t>力位，进行另一个区间洗盘反复，循环如此，这是近期的</w:t>
      </w:r>
      <w:r>
        <w:rPr>
          <w:rFonts w:asciiTheme="minorEastAsia" w:eastAsiaTheme="minorEastAsia" w:hAnsiTheme="minorEastAsia" w:hint="eastAsia"/>
          <w:sz w:val="28"/>
          <w:szCs w:val="28"/>
        </w:rPr>
        <w:lastRenderedPageBreak/>
        <w:t>运行格调，日线已经形成</w:t>
      </w:r>
      <w:r>
        <w:rPr>
          <w:rFonts w:ascii="微软雅黑" w:eastAsia="微软雅黑" w:hAnsi="微软雅黑" w:hint="eastAsia"/>
          <w:color w:val="222222"/>
          <w:sz w:val="25"/>
          <w:szCs w:val="25"/>
          <w:shd w:val="clear" w:color="auto" w:fill="FFFFFF"/>
        </w:rPr>
        <w:t>看涨的头肩底形态，而且正在发挥作用，</w:t>
      </w:r>
      <w:r>
        <w:rPr>
          <w:rFonts w:asciiTheme="minorEastAsia" w:eastAsiaTheme="minorEastAsia" w:hAnsiTheme="minorEastAsia" w:hint="eastAsia"/>
          <w:sz w:val="28"/>
          <w:szCs w:val="28"/>
        </w:rPr>
        <w:t>是一个很合理的上涨增强交易模式，</w:t>
      </w:r>
      <w:r>
        <w:rPr>
          <w:rFonts w:ascii="微软雅黑" w:eastAsia="微软雅黑" w:hAnsi="微软雅黑" w:hint="eastAsia"/>
          <w:color w:val="222222"/>
          <w:sz w:val="25"/>
          <w:szCs w:val="25"/>
          <w:shd w:val="clear" w:color="auto" w:fill="FFFFFF"/>
        </w:rPr>
        <w:t>由于该看涨形态尚未达到上行目标，当前的价格回落可能带来买入机会，建议关注。</w:t>
      </w:r>
      <w:r>
        <w:rPr>
          <w:rFonts w:asciiTheme="minorEastAsia" w:eastAsiaTheme="minorEastAsia" w:hAnsiTheme="minorEastAsia" w:hint="eastAsia"/>
          <w:sz w:val="28"/>
          <w:szCs w:val="28"/>
        </w:rPr>
        <w:t>总的来看</w:t>
      </w:r>
      <w:r w:rsidRPr="008F1A30">
        <w:rPr>
          <w:rFonts w:asciiTheme="minorEastAsia" w:eastAsiaTheme="minorEastAsia" w:hAnsiTheme="minorEastAsia" w:hint="eastAsia"/>
          <w:sz w:val="28"/>
          <w:szCs w:val="28"/>
        </w:rPr>
        <w:t>白银</w:t>
      </w:r>
      <w:r w:rsidRPr="00E37926">
        <w:rPr>
          <w:rFonts w:asciiTheme="minorEastAsia" w:eastAsiaTheme="minorEastAsia" w:hAnsiTheme="minorEastAsia" w:hint="eastAsia"/>
          <w:sz w:val="28"/>
          <w:szCs w:val="28"/>
        </w:rPr>
        <w:t>可能</w:t>
      </w:r>
      <w:r>
        <w:rPr>
          <w:rFonts w:asciiTheme="minorEastAsia" w:eastAsiaTheme="minorEastAsia" w:hAnsiTheme="minorEastAsia" w:hint="eastAsia"/>
          <w:sz w:val="28"/>
          <w:szCs w:val="28"/>
        </w:rPr>
        <w:t>会继续面临短期看多的考虑</w:t>
      </w:r>
      <w:r w:rsidRPr="00E37926">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建议</w:t>
      </w:r>
      <w:r w:rsidRPr="0032356D">
        <w:rPr>
          <w:rFonts w:asciiTheme="minorEastAsia" w:eastAsiaTheme="minorEastAsia" w:hAnsiTheme="minorEastAsia" w:hint="eastAsia"/>
          <w:sz w:val="28"/>
          <w:szCs w:val="28"/>
        </w:rPr>
        <w:t>设计中长期利用</w:t>
      </w:r>
      <w:r>
        <w:rPr>
          <w:rFonts w:asciiTheme="minorEastAsia" w:eastAsiaTheme="minorEastAsia" w:hAnsiTheme="minorEastAsia" w:hint="eastAsia"/>
          <w:sz w:val="28"/>
          <w:szCs w:val="28"/>
        </w:rPr>
        <w:t>斜斜的上升</w:t>
      </w:r>
      <w:r w:rsidRPr="0032356D">
        <w:rPr>
          <w:rFonts w:asciiTheme="minorEastAsia" w:eastAsiaTheme="minorEastAsia" w:hAnsiTheme="minorEastAsia" w:hint="eastAsia"/>
          <w:sz w:val="28"/>
          <w:szCs w:val="28"/>
        </w:rPr>
        <w:t>通道结构</w:t>
      </w:r>
      <w:r>
        <w:rPr>
          <w:rFonts w:asciiTheme="minorEastAsia" w:eastAsiaTheme="minorEastAsia" w:hAnsiTheme="minorEastAsia" w:hint="eastAsia"/>
          <w:sz w:val="28"/>
          <w:szCs w:val="28"/>
        </w:rPr>
        <w:t>跟风多</w:t>
      </w:r>
      <w:r w:rsidRPr="0032356D">
        <w:rPr>
          <w:rFonts w:asciiTheme="minorEastAsia" w:eastAsiaTheme="minorEastAsia" w:hAnsiTheme="minorEastAsia" w:hint="eastAsia"/>
          <w:sz w:val="28"/>
          <w:szCs w:val="28"/>
        </w:rPr>
        <w:t>头交易。</w:t>
      </w:r>
    </w:p>
    <w:p w:rsidR="005F10D6" w:rsidRPr="005F10D6" w:rsidRDefault="005F10D6" w:rsidP="00F80A9E">
      <w:pPr>
        <w:pStyle w:val="1"/>
        <w:numPr>
          <w:ilvl w:val="0"/>
          <w:numId w:val="1"/>
        </w:numPr>
        <w:spacing w:before="240" w:after="240" w:line="240" w:lineRule="auto"/>
        <w:ind w:left="0" w:firstLine="0"/>
        <w:rPr>
          <w:szCs w:val="28"/>
        </w:rPr>
      </w:pPr>
      <w:bookmarkStart w:id="12" w:name="_Toc21971388"/>
      <w:r w:rsidRPr="005F10D6">
        <w:rPr>
          <w:rFonts w:hint="eastAsia"/>
          <w:szCs w:val="28"/>
        </w:rPr>
        <w:t>行情</w:t>
      </w:r>
      <w:bookmarkEnd w:id="12"/>
      <w:r w:rsidRPr="005F10D6">
        <w:rPr>
          <w:rFonts w:hint="eastAsia"/>
          <w:szCs w:val="28"/>
        </w:rPr>
        <w:t>展望</w:t>
      </w:r>
    </w:p>
    <w:p w:rsidR="00D57C00" w:rsidRPr="00C15F43" w:rsidRDefault="005959A3" w:rsidP="005959A3">
      <w:pPr>
        <w:pStyle w:val="ac"/>
        <w:shd w:val="clear" w:color="auto" w:fill="FFFFFF"/>
        <w:ind w:firstLineChars="200" w:firstLine="560"/>
        <w:rPr>
          <w:rFonts w:asciiTheme="minorEastAsia" w:eastAsiaTheme="minorEastAsia" w:hAnsiTheme="minorEastAsia" w:cs="Times New Roman"/>
          <w:kern w:val="2"/>
          <w:sz w:val="28"/>
          <w:szCs w:val="28"/>
        </w:rPr>
      </w:pPr>
      <w:r w:rsidRPr="005959A3">
        <w:rPr>
          <w:rFonts w:asciiTheme="minorEastAsia" w:eastAsiaTheme="minorEastAsia" w:hAnsiTheme="minorEastAsia" w:cs="Times New Roman"/>
          <w:kern w:val="2"/>
          <w:sz w:val="28"/>
          <w:szCs w:val="28"/>
        </w:rPr>
        <w:t>驱动美元和美债利率中期向上的基本面未发生逆转，供应链受损及需求回暖将继续驱动美国通胀水平继续上行，美债利率在前期冲高后或将以震荡为主</w:t>
      </w:r>
      <w:r w:rsidRPr="005959A3">
        <w:rPr>
          <w:rFonts w:asciiTheme="minorEastAsia" w:eastAsiaTheme="minorEastAsia" w:hAnsiTheme="minorEastAsia" w:cs="Times New Roman" w:hint="eastAsia"/>
          <w:kern w:val="2"/>
          <w:sz w:val="28"/>
          <w:szCs w:val="28"/>
        </w:rPr>
        <w:t>，</w:t>
      </w:r>
      <w:r w:rsidRPr="005959A3">
        <w:rPr>
          <w:rFonts w:asciiTheme="minorEastAsia" w:eastAsiaTheme="minorEastAsia" w:hAnsiTheme="minorEastAsia" w:cs="Times New Roman"/>
          <w:kern w:val="2"/>
          <w:sz w:val="28"/>
          <w:szCs w:val="28"/>
        </w:rPr>
        <w:t>而且美联储对短期通胀仍持较为容忍的态度，就业复苏有所加速但持续性仍待观察，购债规模短期内难以转向缩减，叠加另外疫苗接种铺开实现全面免疫非坦途，贵金属有望延续阶段性反弹。白银在工业属性驱动下将受益于光伏需求增长，金银比仍有趋势性下行的潜力</w:t>
      </w:r>
      <w:r w:rsidRPr="005959A3">
        <w:rPr>
          <w:rFonts w:asciiTheme="minorEastAsia" w:eastAsiaTheme="minorEastAsia" w:hAnsiTheme="minorEastAsia" w:cs="Times New Roman" w:hint="eastAsia"/>
          <w:kern w:val="2"/>
          <w:sz w:val="28"/>
          <w:szCs w:val="28"/>
        </w:rPr>
        <w:t>，</w:t>
      </w:r>
      <w:r w:rsidR="0047510C" w:rsidRPr="005959A3">
        <w:rPr>
          <w:rFonts w:asciiTheme="minorEastAsia" w:eastAsiaTheme="minorEastAsia" w:hAnsiTheme="minorEastAsia" w:cs="Times New Roman"/>
          <w:kern w:val="2"/>
          <w:sz w:val="28"/>
          <w:szCs w:val="28"/>
        </w:rPr>
        <w:t>短线仍偏</w:t>
      </w:r>
      <w:r w:rsidRPr="005959A3">
        <w:rPr>
          <w:rFonts w:asciiTheme="minorEastAsia" w:eastAsiaTheme="minorEastAsia" w:hAnsiTheme="minorEastAsia" w:cs="Times New Roman"/>
          <w:kern w:val="2"/>
          <w:sz w:val="28"/>
          <w:szCs w:val="28"/>
        </w:rPr>
        <w:t>向于</w:t>
      </w:r>
      <w:r w:rsidR="0047510C" w:rsidRPr="005959A3">
        <w:rPr>
          <w:rFonts w:asciiTheme="minorEastAsia" w:eastAsiaTheme="minorEastAsia" w:hAnsiTheme="minorEastAsia" w:cs="Times New Roman"/>
          <w:kern w:val="2"/>
          <w:sz w:val="28"/>
          <w:szCs w:val="28"/>
        </w:rPr>
        <w:t>多头，但资金面显示给予多头的“容错率”越来越低</w:t>
      </w:r>
      <w:r w:rsidR="004B50F9" w:rsidRPr="00EE3FB0">
        <w:rPr>
          <w:rFonts w:asciiTheme="minorEastAsia" w:eastAsiaTheme="minorEastAsia" w:hAnsiTheme="minorEastAsia" w:cs="Times New Roman"/>
          <w:kern w:val="2"/>
          <w:sz w:val="28"/>
          <w:szCs w:val="28"/>
        </w:rPr>
        <w:t>，</w:t>
      </w:r>
      <w:r w:rsidR="0047510C">
        <w:rPr>
          <w:rFonts w:asciiTheme="minorEastAsia" w:eastAsiaTheme="minorEastAsia" w:hAnsiTheme="minorEastAsia" w:cs="Times New Roman" w:hint="eastAsia"/>
          <w:kern w:val="2"/>
          <w:sz w:val="28"/>
          <w:szCs w:val="28"/>
        </w:rPr>
        <w:t>形势依然复杂，</w:t>
      </w:r>
      <w:r>
        <w:rPr>
          <w:rFonts w:asciiTheme="minorEastAsia" w:eastAsiaTheme="minorEastAsia" w:hAnsiTheme="minorEastAsia" w:cs="Times New Roman" w:hint="eastAsia"/>
          <w:kern w:val="2"/>
          <w:sz w:val="28"/>
          <w:szCs w:val="28"/>
        </w:rPr>
        <w:t>走势依然横盘，</w:t>
      </w:r>
      <w:r w:rsidR="00652825" w:rsidRPr="00EE3FB0">
        <w:rPr>
          <w:rFonts w:asciiTheme="minorEastAsia" w:eastAsiaTheme="minorEastAsia" w:hAnsiTheme="minorEastAsia" w:cs="Times New Roman" w:hint="eastAsia"/>
          <w:kern w:val="2"/>
          <w:sz w:val="28"/>
          <w:szCs w:val="28"/>
        </w:rPr>
        <w:t>建议</w:t>
      </w:r>
      <w:r w:rsidR="00B874D9" w:rsidRPr="00EE3FB0">
        <w:rPr>
          <w:rFonts w:asciiTheme="minorEastAsia" w:eastAsiaTheme="minorEastAsia" w:hAnsiTheme="minorEastAsia" w:cs="Times New Roman" w:hint="eastAsia"/>
          <w:kern w:val="2"/>
          <w:sz w:val="28"/>
          <w:szCs w:val="28"/>
        </w:rPr>
        <w:t>中长期</w:t>
      </w:r>
      <w:r w:rsidR="00A24CDE" w:rsidRPr="00EE3FB0">
        <w:rPr>
          <w:rFonts w:asciiTheme="minorEastAsia" w:eastAsiaTheme="minorEastAsia" w:hAnsiTheme="minorEastAsia" w:cs="Times New Roman" w:hint="eastAsia"/>
          <w:kern w:val="2"/>
          <w:sz w:val="28"/>
          <w:szCs w:val="28"/>
        </w:rPr>
        <w:t>跟风</w:t>
      </w:r>
      <w:r>
        <w:rPr>
          <w:rFonts w:asciiTheme="minorEastAsia" w:eastAsiaTheme="minorEastAsia" w:hAnsiTheme="minorEastAsia" w:cs="Times New Roman" w:hint="eastAsia"/>
          <w:kern w:val="2"/>
          <w:sz w:val="28"/>
          <w:szCs w:val="28"/>
        </w:rPr>
        <w:t>有色金属设计</w:t>
      </w:r>
      <w:r w:rsidR="0047510C">
        <w:rPr>
          <w:rFonts w:asciiTheme="minorEastAsia" w:eastAsiaTheme="minorEastAsia" w:hAnsiTheme="minorEastAsia" w:cs="Times New Roman" w:hint="eastAsia"/>
          <w:kern w:val="2"/>
          <w:sz w:val="28"/>
          <w:szCs w:val="28"/>
        </w:rPr>
        <w:t>震荡偏强</w:t>
      </w:r>
      <w:r w:rsidR="000C3D0C" w:rsidRPr="00EE3FB0">
        <w:rPr>
          <w:rFonts w:asciiTheme="minorEastAsia" w:eastAsiaTheme="minorEastAsia" w:hAnsiTheme="minorEastAsia" w:cs="Times New Roman" w:hint="eastAsia"/>
          <w:kern w:val="2"/>
          <w:sz w:val="28"/>
          <w:szCs w:val="28"/>
        </w:rPr>
        <w:t>走势</w:t>
      </w:r>
      <w:r>
        <w:rPr>
          <w:rFonts w:asciiTheme="minorEastAsia" w:eastAsiaTheme="minorEastAsia" w:hAnsiTheme="minorEastAsia" w:cs="Times New Roman" w:hint="eastAsia"/>
          <w:kern w:val="2"/>
          <w:sz w:val="28"/>
          <w:szCs w:val="28"/>
        </w:rPr>
        <w:t>策略</w:t>
      </w:r>
      <w:r w:rsidR="00652825" w:rsidRPr="00EE3FB0">
        <w:rPr>
          <w:rFonts w:asciiTheme="minorEastAsia" w:eastAsiaTheme="minorEastAsia" w:hAnsiTheme="minorEastAsia" w:cs="Times New Roman" w:hint="eastAsia"/>
          <w:kern w:val="2"/>
          <w:sz w:val="28"/>
          <w:szCs w:val="28"/>
        </w:rPr>
        <w:t>，</w:t>
      </w:r>
      <w:r w:rsidR="00E95B82" w:rsidRPr="00EE3FB0">
        <w:rPr>
          <w:rFonts w:asciiTheme="minorEastAsia" w:eastAsiaTheme="minorEastAsia" w:hAnsiTheme="minorEastAsia" w:cs="Times New Roman"/>
          <w:kern w:val="2"/>
          <w:sz w:val="28"/>
          <w:szCs w:val="28"/>
        </w:rPr>
        <w:t>运行区间</w:t>
      </w:r>
      <w:r w:rsidR="00A837D3" w:rsidRPr="00EE3FB0">
        <w:rPr>
          <w:rFonts w:asciiTheme="minorEastAsia" w:eastAsiaTheme="minorEastAsia" w:hAnsiTheme="minorEastAsia" w:cs="Times New Roman"/>
          <w:kern w:val="2"/>
          <w:sz w:val="28"/>
          <w:szCs w:val="28"/>
        </w:rPr>
        <w:t>沪银主力</w:t>
      </w:r>
      <w:r w:rsidR="000C3D0C" w:rsidRPr="00EE3FB0">
        <w:rPr>
          <w:rFonts w:asciiTheme="minorEastAsia" w:eastAsiaTheme="minorEastAsia" w:hAnsiTheme="minorEastAsia" w:cs="Times New Roman"/>
          <w:kern w:val="2"/>
          <w:sz w:val="28"/>
          <w:szCs w:val="28"/>
        </w:rPr>
        <w:t xml:space="preserve"> 20</w:t>
      </w:r>
      <w:r w:rsidR="000C3D0C" w:rsidRPr="00EE3FB0">
        <w:rPr>
          <w:rFonts w:asciiTheme="minorEastAsia" w:eastAsiaTheme="minorEastAsia" w:hAnsiTheme="minorEastAsia" w:cs="Times New Roman" w:hint="eastAsia"/>
          <w:kern w:val="2"/>
          <w:sz w:val="28"/>
          <w:szCs w:val="28"/>
        </w:rPr>
        <w:t>06</w:t>
      </w:r>
      <w:r w:rsidR="00A837D3" w:rsidRPr="00EE3FB0">
        <w:rPr>
          <w:rFonts w:asciiTheme="minorEastAsia" w:eastAsiaTheme="minorEastAsia" w:hAnsiTheme="minorEastAsia" w:cs="Times New Roman"/>
          <w:kern w:val="2"/>
          <w:sz w:val="28"/>
          <w:szCs w:val="28"/>
        </w:rPr>
        <w:t xml:space="preserve"> 合约建议关注</w:t>
      </w:r>
      <w:r w:rsidR="000C3D0C" w:rsidRPr="00EE3FB0">
        <w:rPr>
          <w:rFonts w:asciiTheme="minorEastAsia" w:eastAsiaTheme="minorEastAsia" w:hAnsiTheme="minorEastAsia" w:cs="Times New Roman"/>
          <w:kern w:val="2"/>
          <w:sz w:val="28"/>
          <w:szCs w:val="28"/>
        </w:rPr>
        <w:t xml:space="preserve"> </w:t>
      </w:r>
      <w:r w:rsidR="0047510C">
        <w:rPr>
          <w:rFonts w:asciiTheme="minorEastAsia" w:eastAsiaTheme="minorEastAsia" w:hAnsiTheme="minorEastAsia" w:cs="Times New Roman" w:hint="eastAsia"/>
          <w:kern w:val="2"/>
          <w:sz w:val="28"/>
          <w:szCs w:val="28"/>
        </w:rPr>
        <w:t>51</w:t>
      </w:r>
      <w:r w:rsidR="00FA55A3">
        <w:rPr>
          <w:rFonts w:asciiTheme="minorEastAsia" w:eastAsiaTheme="minorEastAsia" w:hAnsiTheme="minorEastAsia" w:cs="Times New Roman" w:hint="eastAsia"/>
          <w:kern w:val="2"/>
          <w:sz w:val="28"/>
          <w:szCs w:val="28"/>
        </w:rPr>
        <w:t>0</w:t>
      </w:r>
      <w:r w:rsidR="00E95B82" w:rsidRPr="00EE3FB0">
        <w:rPr>
          <w:rFonts w:asciiTheme="minorEastAsia" w:eastAsiaTheme="minorEastAsia" w:hAnsiTheme="minorEastAsia" w:cs="Times New Roman"/>
          <w:kern w:val="2"/>
          <w:sz w:val="28"/>
          <w:szCs w:val="28"/>
        </w:rPr>
        <w:t>0-</w:t>
      </w:r>
      <w:r w:rsidR="0047510C">
        <w:rPr>
          <w:rFonts w:asciiTheme="minorEastAsia" w:eastAsiaTheme="minorEastAsia" w:hAnsiTheme="minorEastAsia" w:cs="Times New Roman" w:hint="eastAsia"/>
          <w:kern w:val="2"/>
          <w:sz w:val="28"/>
          <w:szCs w:val="28"/>
        </w:rPr>
        <w:t>60</w:t>
      </w:r>
      <w:r w:rsidR="00A837D3" w:rsidRPr="00EE3FB0">
        <w:rPr>
          <w:rFonts w:asciiTheme="minorEastAsia" w:eastAsiaTheme="minorEastAsia" w:hAnsiTheme="minorEastAsia" w:cs="Times New Roman"/>
          <w:kern w:val="2"/>
          <w:sz w:val="28"/>
          <w:szCs w:val="28"/>
        </w:rPr>
        <w:t>00 元/</w:t>
      </w:r>
      <w:r w:rsidR="00DC0045" w:rsidRPr="00EE3FB0">
        <w:rPr>
          <w:rFonts w:asciiTheme="minorEastAsia" w:eastAsiaTheme="minorEastAsia" w:hAnsiTheme="minorEastAsia" w:cs="Times New Roman"/>
          <w:kern w:val="2"/>
          <w:sz w:val="28"/>
          <w:szCs w:val="28"/>
        </w:rPr>
        <w:t>千克</w:t>
      </w:r>
      <w:r w:rsidR="002D6BA5" w:rsidRPr="00EE3FB0">
        <w:rPr>
          <w:rFonts w:asciiTheme="minorEastAsia" w:eastAsiaTheme="minorEastAsia" w:hAnsiTheme="minorEastAsia" w:cs="Times New Roman" w:hint="eastAsia"/>
          <w:kern w:val="2"/>
          <w:sz w:val="28"/>
          <w:szCs w:val="28"/>
        </w:rPr>
        <w:t>，</w:t>
      </w:r>
      <w:r w:rsidR="00D57C00" w:rsidRPr="00EE3FB0">
        <w:rPr>
          <w:rFonts w:asciiTheme="minorEastAsia" w:eastAsiaTheme="minorEastAsia" w:hAnsiTheme="minorEastAsia" w:cs="Times New Roman" w:hint="eastAsia"/>
          <w:kern w:val="2"/>
          <w:sz w:val="28"/>
          <w:szCs w:val="28"/>
        </w:rPr>
        <w:t>企业</w:t>
      </w:r>
      <w:r w:rsidR="00D57C00" w:rsidRPr="00EE3FB0">
        <w:rPr>
          <w:rFonts w:asciiTheme="minorEastAsia" w:eastAsiaTheme="minorEastAsia" w:hAnsiTheme="minorEastAsia" w:cs="Times New Roman"/>
          <w:kern w:val="2"/>
          <w:sz w:val="28"/>
          <w:szCs w:val="28"/>
        </w:rPr>
        <w:t>套保策略</w:t>
      </w:r>
      <w:r w:rsidR="00D57C00" w:rsidRPr="00EE3FB0">
        <w:rPr>
          <w:rFonts w:asciiTheme="minorEastAsia" w:eastAsiaTheme="minorEastAsia" w:hAnsiTheme="minorEastAsia" w:cs="Times New Roman" w:hint="eastAsia"/>
          <w:kern w:val="2"/>
          <w:sz w:val="28"/>
          <w:szCs w:val="28"/>
        </w:rPr>
        <w:t>方面，</w:t>
      </w:r>
      <w:r w:rsidR="0047510C">
        <w:rPr>
          <w:rFonts w:asciiTheme="minorEastAsia" w:eastAsiaTheme="minorEastAsia" w:hAnsiTheme="minorEastAsia" w:cs="Times New Roman" w:hint="eastAsia"/>
          <w:kern w:val="2"/>
          <w:sz w:val="28"/>
          <w:szCs w:val="28"/>
        </w:rPr>
        <w:t>震荡阶段，销售</w:t>
      </w:r>
      <w:r w:rsidR="00D57C00" w:rsidRPr="00EE3FB0">
        <w:rPr>
          <w:rFonts w:asciiTheme="minorEastAsia" w:eastAsiaTheme="minorEastAsia" w:hAnsiTheme="minorEastAsia" w:cs="Times New Roman"/>
          <w:kern w:val="2"/>
          <w:sz w:val="28"/>
          <w:szCs w:val="28"/>
        </w:rPr>
        <w:t>商</w:t>
      </w:r>
      <w:r w:rsidR="005D620D" w:rsidRPr="00EE3FB0">
        <w:rPr>
          <w:rFonts w:asciiTheme="minorEastAsia" w:eastAsiaTheme="minorEastAsia" w:hAnsiTheme="minorEastAsia" w:cs="Times New Roman" w:hint="eastAsia"/>
          <w:kern w:val="2"/>
          <w:sz w:val="28"/>
          <w:szCs w:val="28"/>
        </w:rPr>
        <w:t>可以</w:t>
      </w:r>
      <w:r w:rsidR="00FA55A3">
        <w:rPr>
          <w:rFonts w:asciiTheme="minorEastAsia" w:eastAsiaTheme="minorEastAsia" w:hAnsiTheme="minorEastAsia" w:cs="Times New Roman"/>
          <w:kern w:val="2"/>
          <w:sz w:val="28"/>
          <w:szCs w:val="28"/>
        </w:rPr>
        <w:t>在</w:t>
      </w:r>
      <w:r w:rsidR="0047510C">
        <w:rPr>
          <w:rFonts w:asciiTheme="minorEastAsia" w:eastAsiaTheme="minorEastAsia" w:hAnsiTheme="minorEastAsia" w:cs="Times New Roman" w:hint="eastAsia"/>
          <w:kern w:val="2"/>
          <w:sz w:val="28"/>
          <w:szCs w:val="28"/>
        </w:rPr>
        <w:t>箱体高</w:t>
      </w:r>
      <w:r w:rsidR="000C3D0C" w:rsidRPr="00EE3FB0">
        <w:rPr>
          <w:rFonts w:asciiTheme="minorEastAsia" w:eastAsiaTheme="minorEastAsia" w:hAnsiTheme="minorEastAsia" w:cs="Times New Roman"/>
          <w:kern w:val="2"/>
          <w:sz w:val="28"/>
          <w:szCs w:val="28"/>
        </w:rPr>
        <w:t>位设置</w:t>
      </w:r>
      <w:r w:rsidR="0047510C">
        <w:rPr>
          <w:rFonts w:asciiTheme="minorEastAsia" w:eastAsiaTheme="minorEastAsia" w:hAnsiTheme="minorEastAsia" w:cs="Times New Roman" w:hint="eastAsia"/>
          <w:kern w:val="2"/>
          <w:sz w:val="28"/>
          <w:szCs w:val="28"/>
        </w:rPr>
        <w:t>部分</w:t>
      </w:r>
      <w:r w:rsidR="005D620D" w:rsidRPr="00EE3FB0">
        <w:rPr>
          <w:rFonts w:asciiTheme="minorEastAsia" w:eastAsiaTheme="minorEastAsia" w:hAnsiTheme="minorEastAsia" w:cs="Times New Roman"/>
          <w:kern w:val="2"/>
          <w:sz w:val="28"/>
          <w:szCs w:val="28"/>
        </w:rPr>
        <w:t>空头保值</w:t>
      </w:r>
      <w:r w:rsidR="0047510C">
        <w:rPr>
          <w:rFonts w:asciiTheme="minorEastAsia" w:eastAsiaTheme="minorEastAsia" w:hAnsiTheme="minorEastAsia" w:cs="Times New Roman" w:hint="eastAsia"/>
          <w:kern w:val="2"/>
          <w:sz w:val="28"/>
          <w:szCs w:val="28"/>
        </w:rPr>
        <w:t>，</w:t>
      </w:r>
      <w:r w:rsidR="00A72DB9" w:rsidRPr="00EE3FB0">
        <w:rPr>
          <w:rFonts w:asciiTheme="minorEastAsia" w:eastAsiaTheme="minorEastAsia" w:hAnsiTheme="minorEastAsia" w:cs="Times New Roman" w:hint="eastAsia"/>
          <w:kern w:val="2"/>
          <w:sz w:val="28"/>
          <w:szCs w:val="28"/>
        </w:rPr>
        <w:t>进行震荡</w:t>
      </w:r>
      <w:r w:rsidR="005D620D" w:rsidRPr="00EE3FB0">
        <w:rPr>
          <w:rFonts w:asciiTheme="minorEastAsia" w:eastAsiaTheme="minorEastAsia" w:hAnsiTheme="minorEastAsia" w:cs="Times New Roman" w:hint="eastAsia"/>
          <w:kern w:val="2"/>
          <w:sz w:val="28"/>
          <w:szCs w:val="28"/>
        </w:rPr>
        <w:t>型主动</w:t>
      </w:r>
      <w:r w:rsidR="00A72DB9" w:rsidRPr="00EE3FB0">
        <w:rPr>
          <w:rFonts w:asciiTheme="minorEastAsia" w:eastAsiaTheme="minorEastAsia" w:hAnsiTheme="minorEastAsia" w:cs="Times New Roman" w:hint="eastAsia"/>
          <w:kern w:val="2"/>
          <w:sz w:val="28"/>
          <w:szCs w:val="28"/>
        </w:rPr>
        <w:t>保值</w:t>
      </w:r>
      <w:r w:rsidR="005D620D" w:rsidRPr="00EE3FB0">
        <w:rPr>
          <w:rFonts w:asciiTheme="minorEastAsia" w:eastAsiaTheme="minorEastAsia" w:hAnsiTheme="minorEastAsia" w:cs="Times New Roman" w:hint="eastAsia"/>
          <w:kern w:val="2"/>
          <w:sz w:val="28"/>
          <w:szCs w:val="28"/>
        </w:rPr>
        <w:t>。</w:t>
      </w:r>
    </w:p>
    <w:p w:rsidR="00450B01" w:rsidRDefault="005F10D6" w:rsidP="0032356D">
      <w:pPr>
        <w:pStyle w:val="ac"/>
        <w:shd w:val="clear" w:color="auto" w:fill="FFFFFF"/>
        <w:ind w:firstLineChars="200" w:firstLine="560"/>
        <w:rPr>
          <w:rFonts w:ascii="Calibri" w:hAnsi="Calibri" w:cs="Times New Roman"/>
          <w:kern w:val="2"/>
          <w:sz w:val="28"/>
          <w:szCs w:val="28"/>
        </w:rPr>
      </w:pPr>
      <w:r w:rsidRPr="00510FED">
        <w:rPr>
          <w:rFonts w:ascii="Calibri" w:hAnsi="Calibri" w:cs="Times New Roman" w:hint="eastAsia"/>
          <w:kern w:val="2"/>
          <w:sz w:val="28"/>
          <w:szCs w:val="28"/>
        </w:rPr>
        <w:t>风险控制：</w:t>
      </w:r>
      <w:r w:rsidR="00F62C6F" w:rsidRPr="00F62C6F">
        <w:rPr>
          <w:rFonts w:ascii="Calibri" w:hAnsi="Calibri" w:cs="Times New Roman" w:hint="eastAsia"/>
          <w:kern w:val="2"/>
          <w:sz w:val="28"/>
          <w:szCs w:val="28"/>
        </w:rPr>
        <w:t>央行货币政策态度导向改变</w:t>
      </w:r>
      <w:r w:rsidR="00F62C6F" w:rsidRPr="00F62C6F">
        <w:rPr>
          <w:rFonts w:ascii="Calibri" w:hAnsi="Calibri" w:cs="Times New Roman" w:hint="eastAsia"/>
          <w:kern w:val="2"/>
          <w:sz w:val="28"/>
          <w:szCs w:val="28"/>
        </w:rPr>
        <w:t> </w:t>
      </w:r>
      <w:r w:rsidR="00FC44C0" w:rsidRPr="00FC44C0">
        <w:rPr>
          <w:rFonts w:ascii="Calibri" w:hAnsi="Calibri" w:cs="Times New Roman" w:hint="eastAsia"/>
          <w:kern w:val="2"/>
          <w:sz w:val="28"/>
          <w:szCs w:val="28"/>
        </w:rPr>
        <w:t>；地缘政治风险</w:t>
      </w:r>
      <w:r w:rsidR="005D620D">
        <w:rPr>
          <w:rFonts w:ascii="Calibri" w:hAnsi="Calibri" w:cs="Times New Roman" w:hint="eastAsia"/>
          <w:kern w:val="2"/>
          <w:sz w:val="28"/>
          <w:szCs w:val="28"/>
        </w:rPr>
        <w:t>减弱</w:t>
      </w:r>
      <w:r w:rsidR="00FC44C0" w:rsidRPr="00FC44C0">
        <w:rPr>
          <w:rFonts w:ascii="Calibri" w:hAnsi="Calibri" w:cs="Times New Roman" w:hint="eastAsia"/>
          <w:kern w:val="2"/>
          <w:sz w:val="28"/>
          <w:szCs w:val="28"/>
        </w:rPr>
        <w:t>；</w:t>
      </w:r>
      <w:r w:rsidR="009E3663">
        <w:rPr>
          <w:rFonts w:ascii="Calibri" w:hAnsi="Calibri" w:cs="Times New Roman"/>
          <w:kern w:val="2"/>
          <w:sz w:val="28"/>
          <w:szCs w:val="28"/>
        </w:rPr>
        <w:t xml:space="preserve"> </w:t>
      </w:r>
    </w:p>
    <w:p w:rsidR="00FC44C0" w:rsidRPr="00DC3443" w:rsidRDefault="00FC44C0" w:rsidP="00DC3443">
      <w:pPr>
        <w:pStyle w:val="ac"/>
        <w:shd w:val="clear" w:color="auto" w:fill="FFFFFF"/>
        <w:rPr>
          <w:rFonts w:ascii="Calibri" w:hAnsi="Calibri" w:cs="Times New Roman"/>
          <w:kern w:val="2"/>
          <w:sz w:val="28"/>
          <w:szCs w:val="28"/>
          <w:u w:val="double"/>
        </w:rPr>
      </w:pPr>
    </w:p>
    <w:p w:rsidR="000C5D13" w:rsidRPr="009A0063" w:rsidRDefault="000C5D13" w:rsidP="009A0063">
      <w:pPr>
        <w:spacing w:line="360" w:lineRule="auto"/>
        <w:ind w:firstLineChars="2507" w:firstLine="5285"/>
        <w:jc w:val="left"/>
        <w:rPr>
          <w:rFonts w:ascii="宋体" w:hAnsi="宋体"/>
          <w:b/>
        </w:rPr>
      </w:pPr>
      <w:r w:rsidRPr="009A0063">
        <w:rPr>
          <w:rFonts w:ascii="宋体" w:hAnsi="宋体" w:hint="eastAsia"/>
          <w:b/>
        </w:rPr>
        <w:t>民生期货有限公司投资咨询部</w:t>
      </w:r>
    </w:p>
    <w:p w:rsidR="000C5D13" w:rsidRPr="009A0063" w:rsidRDefault="000C5D13" w:rsidP="009A0063">
      <w:pPr>
        <w:spacing w:line="360" w:lineRule="auto"/>
        <w:ind w:firstLineChars="2507" w:firstLine="5285"/>
        <w:jc w:val="left"/>
        <w:rPr>
          <w:rFonts w:ascii="宋体" w:hAnsi="宋体"/>
          <w:b/>
        </w:rPr>
      </w:pPr>
      <w:r w:rsidRPr="009A0063">
        <w:rPr>
          <w:rFonts w:ascii="宋体" w:hAnsi="宋体"/>
          <w:b/>
        </w:rPr>
        <w:t>贺文胜</w:t>
      </w:r>
      <w:r w:rsidR="0000200D">
        <w:rPr>
          <w:rFonts w:ascii="宋体" w:hAnsi="宋体" w:hint="eastAsia"/>
          <w:b/>
        </w:rPr>
        <w:t>：</w:t>
      </w:r>
      <w:r w:rsidRPr="009A0063">
        <w:rPr>
          <w:rFonts w:ascii="宋体" w:hAnsi="宋体"/>
          <w:b/>
        </w:rPr>
        <w:t>宏观研究员</w:t>
      </w:r>
    </w:p>
    <w:p w:rsidR="000C5D13" w:rsidRPr="009A0063" w:rsidRDefault="000C5D13" w:rsidP="009A0063">
      <w:pPr>
        <w:spacing w:line="360" w:lineRule="auto"/>
        <w:ind w:leftChars="2541" w:left="5336"/>
        <w:jc w:val="left"/>
        <w:rPr>
          <w:rFonts w:ascii="宋体" w:hAnsi="宋体"/>
          <w:b/>
        </w:rPr>
      </w:pPr>
      <w:r w:rsidRPr="009A0063">
        <w:rPr>
          <w:rFonts w:ascii="宋体" w:hAnsi="宋体" w:hint="eastAsia"/>
          <w:b/>
        </w:rPr>
        <w:t>E-mail：</w:t>
      </w:r>
      <w:hyperlink r:id="rId23" w:history="1">
        <w:r w:rsidRPr="009A0063">
          <w:rPr>
            <w:rFonts w:ascii="宋体" w:hAnsi="宋体" w:hint="eastAsia"/>
            <w:b/>
          </w:rPr>
          <w:t>hewensheng@msqh.com</w:t>
        </w:r>
      </w:hyperlink>
      <w:r w:rsidRPr="009A0063">
        <w:rPr>
          <w:rFonts w:ascii="宋体" w:hAnsi="宋体"/>
          <w:b/>
        </w:rPr>
        <w:t>从业证书号</w:t>
      </w:r>
      <w:r w:rsidRPr="009A0063">
        <w:rPr>
          <w:rFonts w:ascii="宋体" w:hAnsi="宋体" w:hint="eastAsia"/>
          <w:b/>
        </w:rPr>
        <w:t>：</w:t>
      </w:r>
      <w:r w:rsidRPr="009A0063">
        <w:rPr>
          <w:rFonts w:ascii="宋体" w:hAnsi="宋体"/>
          <w:b/>
        </w:rPr>
        <w:t>F0206171</w:t>
      </w:r>
    </w:p>
    <w:p w:rsidR="000C5D13" w:rsidRPr="009A0063" w:rsidRDefault="000C5D13" w:rsidP="009A0063">
      <w:pPr>
        <w:spacing w:line="360" w:lineRule="auto"/>
        <w:ind w:firstLineChars="2522" w:firstLine="5317"/>
        <w:jc w:val="left"/>
        <w:rPr>
          <w:rFonts w:ascii="宋体" w:hAnsi="宋体"/>
          <w:b/>
        </w:rPr>
      </w:pPr>
      <w:r w:rsidRPr="009A0063">
        <w:rPr>
          <w:rFonts w:ascii="宋体" w:hAnsi="宋体" w:hint="eastAsia"/>
          <w:b/>
        </w:rPr>
        <w:t>投资咨询号：</w:t>
      </w:r>
      <w:r w:rsidR="008F308C">
        <w:rPr>
          <w:rFonts w:ascii="宋体" w:hAnsi="宋体" w:hint="eastAsia"/>
          <w:b/>
        </w:rPr>
        <w:t>Z</w:t>
      </w:r>
      <w:r w:rsidRPr="009A0063">
        <w:rPr>
          <w:rFonts w:ascii="宋体" w:hAnsi="宋体"/>
          <w:b/>
        </w:rPr>
        <w:t>0011993</w:t>
      </w:r>
    </w:p>
    <w:p w:rsidR="00DC3443" w:rsidRPr="00DC3443" w:rsidRDefault="00DC3443" w:rsidP="00DC3443">
      <w:pPr>
        <w:spacing w:line="360" w:lineRule="auto"/>
        <w:ind w:firstLineChars="2240" w:firstLine="4722"/>
        <w:rPr>
          <w:rFonts w:asciiTheme="minorEastAsia" w:eastAsiaTheme="minorEastAsia" w:hAnsiTheme="minorEastAsia"/>
          <w:b/>
        </w:rPr>
      </w:pPr>
    </w:p>
    <w:p w:rsidR="000C5D13" w:rsidRPr="003C6564" w:rsidRDefault="000C5D13" w:rsidP="000C5D13">
      <w:pPr>
        <w:spacing w:line="360" w:lineRule="auto"/>
        <w:jc w:val="left"/>
        <w:rPr>
          <w:b/>
          <w:sz w:val="28"/>
          <w:szCs w:val="28"/>
        </w:rPr>
      </w:pPr>
      <w:r w:rsidRPr="003C6564">
        <w:rPr>
          <w:rFonts w:hint="eastAsia"/>
          <w:b/>
          <w:sz w:val="28"/>
          <w:szCs w:val="28"/>
        </w:rPr>
        <w:t>免责声明</w:t>
      </w:r>
    </w:p>
    <w:p w:rsidR="000C5D13" w:rsidRPr="004B7C47" w:rsidRDefault="000C5D13" w:rsidP="000C5D13">
      <w:pPr>
        <w:spacing w:line="360" w:lineRule="auto"/>
        <w:ind w:firstLine="403"/>
      </w:pPr>
      <w:r>
        <w:t>本研究报告由民生期货有限公司根据国际和行业通行的准则，以合法渠道获得这些信息，尽可能保证可靠、准确和完整，但并不保证报告所述信息的准确性和完整性。本报告所载的全部内容只提供给客户做参考之用，并不构成对客户的投资建议，并非作为买卖、认购期货或其它金融工具的邀请或保证。客户不应单纯依靠本报告所载的内容而取代个人的独立判断。本报告不能作为道义的、责任的和法律的依据或者凭证，无论是否已经明示或者暗示。民生期货有限公司将随时补充、更正和修订有关信息，但不保证及时发布。对于本报告所提供信息所导致的任何直接的或者间接的投资盈亏后果，民生期货有限公司不承担任何责任。本报告的著作权属民生期货有限公司，未经书面许可，任何机构和个人不得以任何形式翻版、复制发布，如引用、转载、刊发，须注明出处为民生期货有限公司。</w:t>
      </w:r>
    </w:p>
    <w:sectPr w:rsidR="000C5D13" w:rsidRPr="004B7C47" w:rsidSect="00CA7FB9">
      <w:headerReference w:type="default" r:id="rId24"/>
      <w:footerReference w:type="default" r:id="rId25"/>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1AD0" w:rsidRDefault="00DF1AD0" w:rsidP="00DC6700">
      <w:r>
        <w:separator/>
      </w:r>
    </w:p>
  </w:endnote>
  <w:endnote w:type="continuationSeparator" w:id="1">
    <w:p w:rsidR="00DF1AD0" w:rsidRDefault="00DF1AD0" w:rsidP="00DC67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楷体_GB2312">
    <w:altName w:val="黑体"/>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A0000287" w:usb1="28C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FB9" w:rsidRDefault="00CA7FB9">
    <w:pPr>
      <w:pStyle w:val="a6"/>
      <w:jc w:val="center"/>
    </w:pPr>
  </w:p>
  <w:p w:rsidR="00CA7FB9" w:rsidRDefault="00CA7FB9">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74168"/>
      <w:docPartObj>
        <w:docPartGallery w:val="Page Numbers (Bottom of Page)"/>
        <w:docPartUnique/>
      </w:docPartObj>
    </w:sdtPr>
    <w:sdtContent>
      <w:p w:rsidR="00653DB9" w:rsidRDefault="00E23728">
        <w:pPr>
          <w:pStyle w:val="a6"/>
          <w:jc w:val="center"/>
        </w:pPr>
        <w:r>
          <w:fldChar w:fldCharType="begin"/>
        </w:r>
        <w:r w:rsidR="00A455EE">
          <w:instrText>PAGE   \* MERGEFORMAT</w:instrText>
        </w:r>
        <w:r>
          <w:fldChar w:fldCharType="separate"/>
        </w:r>
        <w:r w:rsidR="00905328" w:rsidRPr="00905328">
          <w:rPr>
            <w:noProof/>
            <w:lang w:val="zh-CN"/>
          </w:rPr>
          <w:t>1</w:t>
        </w:r>
        <w:r>
          <w:fldChar w:fldCharType="end"/>
        </w:r>
      </w:p>
    </w:sdtContent>
  </w:sdt>
  <w:p w:rsidR="00653DB9" w:rsidRDefault="00653DB9">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72C" w:rsidRDefault="00E23728">
    <w:pPr>
      <w:pStyle w:val="a6"/>
      <w:jc w:val="center"/>
    </w:pPr>
    <w:r>
      <w:fldChar w:fldCharType="begin"/>
    </w:r>
    <w:r w:rsidR="00A455EE">
      <w:instrText>PAGE   \* MERGEFORMAT</w:instrText>
    </w:r>
    <w:r>
      <w:fldChar w:fldCharType="separate"/>
    </w:r>
    <w:r w:rsidR="00905328" w:rsidRPr="00905328">
      <w:rPr>
        <w:noProof/>
        <w:lang w:val="zh-CN"/>
      </w:rPr>
      <w:t>1</w:t>
    </w:r>
    <w:r>
      <w:fldChar w:fldCharType="end"/>
    </w:r>
  </w:p>
  <w:p w:rsidR="00CB572C" w:rsidRDefault="00CB572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1AD0" w:rsidRDefault="00DF1AD0" w:rsidP="00DC6700">
      <w:r>
        <w:separator/>
      </w:r>
    </w:p>
  </w:footnote>
  <w:footnote w:type="continuationSeparator" w:id="1">
    <w:p w:rsidR="00DF1AD0" w:rsidRDefault="00DF1AD0" w:rsidP="00DC67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DB9" w:rsidRDefault="00653DB9" w:rsidP="00F30FAD">
    <w:pPr>
      <w:pStyle w:val="a5"/>
      <w:ind w:right="-58"/>
      <w:jc w:val="right"/>
    </w:pPr>
    <w:r>
      <w:rPr>
        <w:rFonts w:hint="eastAsia"/>
        <w:vanish/>
      </w:rPr>
      <w:t>月报</w:t>
    </w:r>
    <w:r>
      <w:rPr>
        <w:rFonts w:hint="eastAsia"/>
        <w:vanish/>
      </w:rPr>
      <w:t xml:space="preserve">O*                    </w:t>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noProof/>
      </w:rPr>
      <w:drawing>
        <wp:inline distT="0" distB="0" distL="0" distR="0">
          <wp:extent cx="2286000" cy="390525"/>
          <wp:effectExtent l="19050" t="0" r="0" b="0"/>
          <wp:docPr id="25" name="图片 6" descr="E:\办公\民生期货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办公\民生期货LOGO.jpg"/>
                  <pic:cNvPicPr>
                    <a:picLocks noChangeAspect="1" noChangeArrowheads="1"/>
                  </pic:cNvPicPr>
                </pic:nvPicPr>
                <pic:blipFill>
                  <a:blip r:embed="rId1"/>
                  <a:srcRect/>
                  <a:stretch>
                    <a:fillRect/>
                  </a:stretch>
                </pic:blipFill>
                <pic:spPr bwMode="auto">
                  <a:xfrm>
                    <a:off x="0" y="0"/>
                    <a:ext cx="2286000" cy="390525"/>
                  </a:xfrm>
                  <a:prstGeom prst="rect">
                    <a:avLst/>
                  </a:prstGeom>
                  <a:noFill/>
                  <a:ln w="9525">
                    <a:noFill/>
                    <a:miter lim="800000"/>
                    <a:headEnd/>
                    <a:tailEnd/>
                  </a:ln>
                </pic:spPr>
              </pic:pic>
            </a:graphicData>
          </a:graphic>
        </wp:inline>
      </w:drawing>
    </w:r>
    <w:r w:rsidRPr="00DC6700">
      <w:rPr>
        <w:rFonts w:ascii="黑体" w:eastAsia="黑体" w:hint="eastAsia"/>
        <w:sz w:val="21"/>
        <w:szCs w:val="21"/>
      </w:rPr>
      <w:t xml:space="preserve"> 20</w:t>
    </w:r>
    <w:r w:rsidR="00D770F4">
      <w:rPr>
        <w:rFonts w:ascii="黑体" w:eastAsia="黑体" w:hint="eastAsia"/>
        <w:sz w:val="21"/>
        <w:szCs w:val="21"/>
      </w:rPr>
      <w:t>21</w:t>
    </w:r>
    <w:r w:rsidRPr="00DC6700">
      <w:rPr>
        <w:rFonts w:ascii="黑体" w:eastAsia="黑体" w:hint="eastAsia"/>
        <w:sz w:val="21"/>
        <w:szCs w:val="21"/>
      </w:rPr>
      <w:t>年</w:t>
    </w:r>
    <w:r w:rsidR="007D227F">
      <w:rPr>
        <w:rFonts w:ascii="黑体" w:eastAsia="黑体" w:hint="eastAsia"/>
        <w:sz w:val="21"/>
        <w:szCs w:val="21"/>
      </w:rPr>
      <w:t>5</w:t>
    </w:r>
    <w:r w:rsidRPr="00DC6700">
      <w:rPr>
        <w:rFonts w:ascii="黑体" w:eastAsia="黑体" w:hint="eastAsia"/>
        <w:sz w:val="21"/>
        <w:szCs w:val="21"/>
      </w:rPr>
      <w:t>月</w:t>
    </w:r>
    <w:r w:rsidR="007B7C14">
      <w:rPr>
        <w:rFonts w:ascii="黑体" w:eastAsia="黑体" w:hAnsi="华文仿宋" w:hint="eastAsia"/>
        <w:sz w:val="21"/>
        <w:szCs w:val="21"/>
      </w:rPr>
      <w:t>月报</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50A" w:rsidRDefault="002D750A" w:rsidP="0085168C">
    <w:pPr>
      <w:pStyle w:val="a5"/>
      <w:jc w:val="left"/>
    </w:pPr>
    <w:r>
      <w:rPr>
        <w:noProof/>
      </w:rPr>
      <w:drawing>
        <wp:inline distT="0" distB="0" distL="0" distR="0">
          <wp:extent cx="2286000" cy="390525"/>
          <wp:effectExtent l="19050" t="0" r="0" b="0"/>
          <wp:docPr id="1" name="图片 6" descr="E:\办公\民生期货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办公\民生期货LOGO.jpg"/>
                  <pic:cNvPicPr>
                    <a:picLocks noChangeAspect="1" noChangeArrowheads="1"/>
                  </pic:cNvPicPr>
                </pic:nvPicPr>
                <pic:blipFill>
                  <a:blip r:embed="rId1"/>
                  <a:srcRect/>
                  <a:stretch>
                    <a:fillRect/>
                  </a:stretch>
                </pic:blipFill>
                <pic:spPr bwMode="auto">
                  <a:xfrm>
                    <a:off x="0" y="0"/>
                    <a:ext cx="2286000" cy="390525"/>
                  </a:xfrm>
                  <a:prstGeom prst="rect">
                    <a:avLst/>
                  </a:prstGeom>
                  <a:noFill/>
                  <a:ln w="9525">
                    <a:noFill/>
                    <a:miter lim="800000"/>
                    <a:headEnd/>
                    <a:tailEnd/>
                  </a:ln>
                </pic:spPr>
              </pic:pic>
            </a:graphicData>
          </a:graphic>
        </wp:inline>
      </w:drawing>
    </w:r>
    <w:r w:rsidR="00D770F4">
      <w:rPr>
        <w:rFonts w:ascii="黑体" w:eastAsia="黑体" w:hint="eastAsia"/>
        <w:sz w:val="21"/>
        <w:szCs w:val="21"/>
      </w:rPr>
      <w:t>2021</w:t>
    </w:r>
    <w:r w:rsidRPr="00DC6700">
      <w:rPr>
        <w:rFonts w:ascii="黑体" w:eastAsia="黑体" w:hint="eastAsia"/>
        <w:sz w:val="21"/>
        <w:szCs w:val="21"/>
      </w:rPr>
      <w:t>年</w:t>
    </w:r>
    <w:r w:rsidR="007D227F">
      <w:rPr>
        <w:rFonts w:ascii="黑体" w:eastAsia="黑体" w:hint="eastAsia"/>
        <w:sz w:val="21"/>
        <w:szCs w:val="21"/>
      </w:rPr>
      <w:t>5</w:t>
    </w:r>
    <w:r w:rsidRPr="00DC6700">
      <w:rPr>
        <w:rFonts w:ascii="黑体" w:eastAsia="黑体" w:hint="eastAsia"/>
        <w:sz w:val="21"/>
        <w:szCs w:val="21"/>
      </w:rPr>
      <w:t>月</w:t>
    </w:r>
    <w:r w:rsidR="00210CB8">
      <w:rPr>
        <w:rFonts w:ascii="黑体" w:eastAsia="黑体" w:hAnsi="华文仿宋" w:hint="eastAsia"/>
        <w:sz w:val="21"/>
        <w:szCs w:val="21"/>
      </w:rPr>
      <w:t>月报</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31CF"/>
    <w:multiLevelType w:val="hybridMultilevel"/>
    <w:tmpl w:val="1BEC84D0"/>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26E4128"/>
    <w:multiLevelType w:val="hybridMultilevel"/>
    <w:tmpl w:val="D580162C"/>
    <w:lvl w:ilvl="0" w:tplc="C22EF0DE">
      <w:start w:val="1"/>
      <w:numFmt w:val="chineseCountingThousand"/>
      <w:pStyle w:val="1"/>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FDA2770"/>
    <w:multiLevelType w:val="hybridMultilevel"/>
    <w:tmpl w:val="52D2924C"/>
    <w:lvl w:ilvl="0" w:tplc="026E8580">
      <w:start w:val="1"/>
      <w:numFmt w:val="decimal"/>
      <w:pStyle w:val="a"/>
      <w:lvlText w:val="图%1."/>
      <w:lvlJc w:val="left"/>
      <w:pPr>
        <w:ind w:left="420" w:hanging="420"/>
      </w:pPr>
      <w:rPr>
        <w:rFonts w:eastAsia="宋体" w:hint="eastAsia"/>
        <w:b/>
        <w:i w:val="0"/>
        <w:sz w:val="21"/>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AD83CD7"/>
    <w:multiLevelType w:val="hybridMultilevel"/>
    <w:tmpl w:val="992E1FDE"/>
    <w:lvl w:ilvl="0" w:tplc="0409000F">
      <w:start w:val="1"/>
      <w:numFmt w:val="decimal"/>
      <w:lvlText w:val="%1."/>
      <w:lvlJc w:val="left"/>
      <w:pPr>
        <w:ind w:left="1126" w:hanging="420"/>
      </w:pPr>
    </w:lvl>
    <w:lvl w:ilvl="1" w:tplc="04090019" w:tentative="1">
      <w:start w:val="1"/>
      <w:numFmt w:val="lowerLetter"/>
      <w:lvlText w:val="%2)"/>
      <w:lvlJc w:val="left"/>
      <w:pPr>
        <w:ind w:left="1546" w:hanging="420"/>
      </w:pPr>
    </w:lvl>
    <w:lvl w:ilvl="2" w:tplc="0409001B" w:tentative="1">
      <w:start w:val="1"/>
      <w:numFmt w:val="lowerRoman"/>
      <w:lvlText w:val="%3."/>
      <w:lvlJc w:val="right"/>
      <w:pPr>
        <w:ind w:left="1966" w:hanging="420"/>
      </w:pPr>
    </w:lvl>
    <w:lvl w:ilvl="3" w:tplc="0409000F" w:tentative="1">
      <w:start w:val="1"/>
      <w:numFmt w:val="decimal"/>
      <w:lvlText w:val="%4."/>
      <w:lvlJc w:val="left"/>
      <w:pPr>
        <w:ind w:left="2386" w:hanging="420"/>
      </w:pPr>
    </w:lvl>
    <w:lvl w:ilvl="4" w:tplc="04090019" w:tentative="1">
      <w:start w:val="1"/>
      <w:numFmt w:val="lowerLetter"/>
      <w:lvlText w:val="%5)"/>
      <w:lvlJc w:val="left"/>
      <w:pPr>
        <w:ind w:left="2806" w:hanging="420"/>
      </w:pPr>
    </w:lvl>
    <w:lvl w:ilvl="5" w:tplc="0409001B" w:tentative="1">
      <w:start w:val="1"/>
      <w:numFmt w:val="lowerRoman"/>
      <w:lvlText w:val="%6."/>
      <w:lvlJc w:val="right"/>
      <w:pPr>
        <w:ind w:left="3226" w:hanging="420"/>
      </w:pPr>
    </w:lvl>
    <w:lvl w:ilvl="6" w:tplc="0409000F" w:tentative="1">
      <w:start w:val="1"/>
      <w:numFmt w:val="decimal"/>
      <w:lvlText w:val="%7."/>
      <w:lvlJc w:val="left"/>
      <w:pPr>
        <w:ind w:left="3646" w:hanging="420"/>
      </w:pPr>
    </w:lvl>
    <w:lvl w:ilvl="7" w:tplc="04090019" w:tentative="1">
      <w:start w:val="1"/>
      <w:numFmt w:val="lowerLetter"/>
      <w:lvlText w:val="%8)"/>
      <w:lvlJc w:val="left"/>
      <w:pPr>
        <w:ind w:left="4066" w:hanging="420"/>
      </w:pPr>
    </w:lvl>
    <w:lvl w:ilvl="8" w:tplc="0409001B" w:tentative="1">
      <w:start w:val="1"/>
      <w:numFmt w:val="lowerRoman"/>
      <w:lvlText w:val="%9."/>
      <w:lvlJc w:val="right"/>
      <w:pPr>
        <w:ind w:left="4486" w:hanging="420"/>
      </w:pPr>
    </w:lvl>
  </w:abstractNum>
  <w:num w:numId="1">
    <w:abstractNumId w:val="0"/>
  </w:num>
  <w:num w:numId="2">
    <w:abstractNumId w:val="3"/>
  </w:num>
  <w:num w:numId="3">
    <w:abstractNumId w:val="2"/>
  </w:num>
  <w:num w:numId="4">
    <w:abstractNumId w:val="1"/>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365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C6700"/>
    <w:rsid w:val="00001244"/>
    <w:rsid w:val="0000200D"/>
    <w:rsid w:val="00004FB8"/>
    <w:rsid w:val="00007D04"/>
    <w:rsid w:val="00010A19"/>
    <w:rsid w:val="00010B22"/>
    <w:rsid w:val="00013C4D"/>
    <w:rsid w:val="000151FF"/>
    <w:rsid w:val="000178BA"/>
    <w:rsid w:val="00020DB2"/>
    <w:rsid w:val="00024AEF"/>
    <w:rsid w:val="00026FC9"/>
    <w:rsid w:val="00034D27"/>
    <w:rsid w:val="000360F0"/>
    <w:rsid w:val="000368CF"/>
    <w:rsid w:val="0004027E"/>
    <w:rsid w:val="00042612"/>
    <w:rsid w:val="000443F5"/>
    <w:rsid w:val="00045282"/>
    <w:rsid w:val="00046139"/>
    <w:rsid w:val="00050E14"/>
    <w:rsid w:val="00052C49"/>
    <w:rsid w:val="000553AD"/>
    <w:rsid w:val="0006799D"/>
    <w:rsid w:val="00070E14"/>
    <w:rsid w:val="000725A5"/>
    <w:rsid w:val="00072619"/>
    <w:rsid w:val="00073802"/>
    <w:rsid w:val="000768D8"/>
    <w:rsid w:val="00081233"/>
    <w:rsid w:val="000853B1"/>
    <w:rsid w:val="00086A2C"/>
    <w:rsid w:val="000907A3"/>
    <w:rsid w:val="000922DE"/>
    <w:rsid w:val="00092C2D"/>
    <w:rsid w:val="0009312F"/>
    <w:rsid w:val="000940EC"/>
    <w:rsid w:val="00094748"/>
    <w:rsid w:val="00095B3F"/>
    <w:rsid w:val="000A53EC"/>
    <w:rsid w:val="000A6E46"/>
    <w:rsid w:val="000B0A41"/>
    <w:rsid w:val="000B4BB1"/>
    <w:rsid w:val="000C2F82"/>
    <w:rsid w:val="000C3D0C"/>
    <w:rsid w:val="000C5D13"/>
    <w:rsid w:val="000C718F"/>
    <w:rsid w:val="000D3AC8"/>
    <w:rsid w:val="000D6AC3"/>
    <w:rsid w:val="000E2A1D"/>
    <w:rsid w:val="000E3693"/>
    <w:rsid w:val="000E4F25"/>
    <w:rsid w:val="000F3D60"/>
    <w:rsid w:val="000F7C4B"/>
    <w:rsid w:val="00107458"/>
    <w:rsid w:val="00110507"/>
    <w:rsid w:val="00110D5A"/>
    <w:rsid w:val="00114EFC"/>
    <w:rsid w:val="00115A7E"/>
    <w:rsid w:val="00121827"/>
    <w:rsid w:val="00122AE4"/>
    <w:rsid w:val="00124F29"/>
    <w:rsid w:val="001259D5"/>
    <w:rsid w:val="00133953"/>
    <w:rsid w:val="00136B95"/>
    <w:rsid w:val="00142A1D"/>
    <w:rsid w:val="0014334F"/>
    <w:rsid w:val="00145CBE"/>
    <w:rsid w:val="001461F3"/>
    <w:rsid w:val="0015068F"/>
    <w:rsid w:val="00151048"/>
    <w:rsid w:val="00151C60"/>
    <w:rsid w:val="00152DDB"/>
    <w:rsid w:val="0015486E"/>
    <w:rsid w:val="00155082"/>
    <w:rsid w:val="001564D4"/>
    <w:rsid w:val="0016126C"/>
    <w:rsid w:val="00165F28"/>
    <w:rsid w:val="00173478"/>
    <w:rsid w:val="00174AA3"/>
    <w:rsid w:val="001763A3"/>
    <w:rsid w:val="001829A3"/>
    <w:rsid w:val="001907EF"/>
    <w:rsid w:val="001945D2"/>
    <w:rsid w:val="00197CBF"/>
    <w:rsid w:val="001A3019"/>
    <w:rsid w:val="001A4226"/>
    <w:rsid w:val="001A4513"/>
    <w:rsid w:val="001A63F9"/>
    <w:rsid w:val="001A6D4F"/>
    <w:rsid w:val="001A6F39"/>
    <w:rsid w:val="001B102C"/>
    <w:rsid w:val="001B1216"/>
    <w:rsid w:val="001B1721"/>
    <w:rsid w:val="001B3016"/>
    <w:rsid w:val="001B41FE"/>
    <w:rsid w:val="001B48BD"/>
    <w:rsid w:val="001B7061"/>
    <w:rsid w:val="001C4BD1"/>
    <w:rsid w:val="001C6AFE"/>
    <w:rsid w:val="001D1708"/>
    <w:rsid w:val="001D1865"/>
    <w:rsid w:val="001D307A"/>
    <w:rsid w:val="001D58D9"/>
    <w:rsid w:val="001D6CE1"/>
    <w:rsid w:val="001E1EEB"/>
    <w:rsid w:val="001E33EA"/>
    <w:rsid w:val="001E3460"/>
    <w:rsid w:val="001E3FB1"/>
    <w:rsid w:val="001E4DA1"/>
    <w:rsid w:val="001E51BB"/>
    <w:rsid w:val="001E7856"/>
    <w:rsid w:val="001F1FF8"/>
    <w:rsid w:val="001F28B6"/>
    <w:rsid w:val="001F2C81"/>
    <w:rsid w:val="002039FA"/>
    <w:rsid w:val="002043C6"/>
    <w:rsid w:val="002052B7"/>
    <w:rsid w:val="00210CB8"/>
    <w:rsid w:val="0021145D"/>
    <w:rsid w:val="00211A56"/>
    <w:rsid w:val="00211A9A"/>
    <w:rsid w:val="002144E8"/>
    <w:rsid w:val="00214D41"/>
    <w:rsid w:val="0021573B"/>
    <w:rsid w:val="00216445"/>
    <w:rsid w:val="00216E26"/>
    <w:rsid w:val="002215C9"/>
    <w:rsid w:val="00223783"/>
    <w:rsid w:val="002306D3"/>
    <w:rsid w:val="002337E4"/>
    <w:rsid w:val="00233F5D"/>
    <w:rsid w:val="00234CFA"/>
    <w:rsid w:val="00235DC3"/>
    <w:rsid w:val="0023711A"/>
    <w:rsid w:val="002430F5"/>
    <w:rsid w:val="002447DE"/>
    <w:rsid w:val="00244D2D"/>
    <w:rsid w:val="00252630"/>
    <w:rsid w:val="00257C13"/>
    <w:rsid w:val="00257D7A"/>
    <w:rsid w:val="00260D7F"/>
    <w:rsid w:val="00265FFD"/>
    <w:rsid w:val="00267273"/>
    <w:rsid w:val="002679E8"/>
    <w:rsid w:val="00270CB7"/>
    <w:rsid w:val="002714E0"/>
    <w:rsid w:val="0028033E"/>
    <w:rsid w:val="002806B8"/>
    <w:rsid w:val="00282D6A"/>
    <w:rsid w:val="002854F8"/>
    <w:rsid w:val="00286B96"/>
    <w:rsid w:val="00294456"/>
    <w:rsid w:val="00295E08"/>
    <w:rsid w:val="00297AAA"/>
    <w:rsid w:val="002A7E33"/>
    <w:rsid w:val="002B21B0"/>
    <w:rsid w:val="002B5608"/>
    <w:rsid w:val="002B5D5B"/>
    <w:rsid w:val="002B7BC9"/>
    <w:rsid w:val="002B7F1B"/>
    <w:rsid w:val="002C5145"/>
    <w:rsid w:val="002C59D1"/>
    <w:rsid w:val="002C5A6A"/>
    <w:rsid w:val="002C7EE5"/>
    <w:rsid w:val="002D4F1A"/>
    <w:rsid w:val="002D6BA5"/>
    <w:rsid w:val="002D750A"/>
    <w:rsid w:val="002E4537"/>
    <w:rsid w:val="002E48D8"/>
    <w:rsid w:val="002E5FAF"/>
    <w:rsid w:val="002E6B81"/>
    <w:rsid w:val="002E760A"/>
    <w:rsid w:val="002F0A94"/>
    <w:rsid w:val="002F2BAE"/>
    <w:rsid w:val="002F3283"/>
    <w:rsid w:val="0030031C"/>
    <w:rsid w:val="003038EF"/>
    <w:rsid w:val="003058F9"/>
    <w:rsid w:val="0030761D"/>
    <w:rsid w:val="003109CE"/>
    <w:rsid w:val="00310B8B"/>
    <w:rsid w:val="00315CDD"/>
    <w:rsid w:val="00316457"/>
    <w:rsid w:val="003165F0"/>
    <w:rsid w:val="0031766A"/>
    <w:rsid w:val="00321980"/>
    <w:rsid w:val="00322113"/>
    <w:rsid w:val="0032356D"/>
    <w:rsid w:val="00323FED"/>
    <w:rsid w:val="00330FD5"/>
    <w:rsid w:val="0033761C"/>
    <w:rsid w:val="0034133F"/>
    <w:rsid w:val="0034778D"/>
    <w:rsid w:val="003502FD"/>
    <w:rsid w:val="00353EFA"/>
    <w:rsid w:val="00355186"/>
    <w:rsid w:val="00370250"/>
    <w:rsid w:val="0037046B"/>
    <w:rsid w:val="003711D2"/>
    <w:rsid w:val="003727F3"/>
    <w:rsid w:val="00375515"/>
    <w:rsid w:val="003761D0"/>
    <w:rsid w:val="00377E3B"/>
    <w:rsid w:val="003816EF"/>
    <w:rsid w:val="00381CB9"/>
    <w:rsid w:val="00384DBF"/>
    <w:rsid w:val="00386D6E"/>
    <w:rsid w:val="00387CC4"/>
    <w:rsid w:val="00392A5E"/>
    <w:rsid w:val="00393803"/>
    <w:rsid w:val="003975FB"/>
    <w:rsid w:val="003A0682"/>
    <w:rsid w:val="003A3F4B"/>
    <w:rsid w:val="003A7B42"/>
    <w:rsid w:val="003B3E42"/>
    <w:rsid w:val="003B4E9C"/>
    <w:rsid w:val="003B5031"/>
    <w:rsid w:val="003B510A"/>
    <w:rsid w:val="003B55A9"/>
    <w:rsid w:val="003C0317"/>
    <w:rsid w:val="003C105A"/>
    <w:rsid w:val="003C36D3"/>
    <w:rsid w:val="003C3792"/>
    <w:rsid w:val="003C6564"/>
    <w:rsid w:val="003D0A26"/>
    <w:rsid w:val="003D3FF4"/>
    <w:rsid w:val="003E3D32"/>
    <w:rsid w:val="003E54B3"/>
    <w:rsid w:val="003E6D03"/>
    <w:rsid w:val="003F002B"/>
    <w:rsid w:val="003F3F79"/>
    <w:rsid w:val="003F47FC"/>
    <w:rsid w:val="003F6C18"/>
    <w:rsid w:val="003F701F"/>
    <w:rsid w:val="003F78CA"/>
    <w:rsid w:val="004058DA"/>
    <w:rsid w:val="004061C5"/>
    <w:rsid w:val="004104B8"/>
    <w:rsid w:val="00411D6C"/>
    <w:rsid w:val="0041354C"/>
    <w:rsid w:val="0041431E"/>
    <w:rsid w:val="004153B8"/>
    <w:rsid w:val="00421AEA"/>
    <w:rsid w:val="004236BD"/>
    <w:rsid w:val="00423B75"/>
    <w:rsid w:val="00433EC6"/>
    <w:rsid w:val="00434330"/>
    <w:rsid w:val="004358C0"/>
    <w:rsid w:val="0043609B"/>
    <w:rsid w:val="00437C8D"/>
    <w:rsid w:val="00445511"/>
    <w:rsid w:val="004458E1"/>
    <w:rsid w:val="00445BD5"/>
    <w:rsid w:val="00446412"/>
    <w:rsid w:val="00450743"/>
    <w:rsid w:val="00450B01"/>
    <w:rsid w:val="00450DEB"/>
    <w:rsid w:val="004617BA"/>
    <w:rsid w:val="0046238F"/>
    <w:rsid w:val="00470246"/>
    <w:rsid w:val="00474517"/>
    <w:rsid w:val="0047510C"/>
    <w:rsid w:val="00476042"/>
    <w:rsid w:val="00480AA6"/>
    <w:rsid w:val="004814C4"/>
    <w:rsid w:val="00482AAC"/>
    <w:rsid w:val="004844DE"/>
    <w:rsid w:val="00484E01"/>
    <w:rsid w:val="00485748"/>
    <w:rsid w:val="00490840"/>
    <w:rsid w:val="00490FE8"/>
    <w:rsid w:val="00495D4E"/>
    <w:rsid w:val="004A0AF3"/>
    <w:rsid w:val="004A0B05"/>
    <w:rsid w:val="004A492D"/>
    <w:rsid w:val="004A7C98"/>
    <w:rsid w:val="004B50F9"/>
    <w:rsid w:val="004B56EF"/>
    <w:rsid w:val="004B7C47"/>
    <w:rsid w:val="004C4A56"/>
    <w:rsid w:val="004C5964"/>
    <w:rsid w:val="004C6FAF"/>
    <w:rsid w:val="004C6FDC"/>
    <w:rsid w:val="004D5364"/>
    <w:rsid w:val="004D5DCC"/>
    <w:rsid w:val="004E00C3"/>
    <w:rsid w:val="004E22EC"/>
    <w:rsid w:val="004E34EA"/>
    <w:rsid w:val="004F02F7"/>
    <w:rsid w:val="004F718B"/>
    <w:rsid w:val="004F73F7"/>
    <w:rsid w:val="005011E5"/>
    <w:rsid w:val="00502BB0"/>
    <w:rsid w:val="0050414F"/>
    <w:rsid w:val="005072D8"/>
    <w:rsid w:val="00510FED"/>
    <w:rsid w:val="005138C1"/>
    <w:rsid w:val="00515027"/>
    <w:rsid w:val="0051615E"/>
    <w:rsid w:val="00522D5B"/>
    <w:rsid w:val="005250E8"/>
    <w:rsid w:val="00531A04"/>
    <w:rsid w:val="00535D93"/>
    <w:rsid w:val="0053718D"/>
    <w:rsid w:val="005470FB"/>
    <w:rsid w:val="00547BC1"/>
    <w:rsid w:val="00551A54"/>
    <w:rsid w:val="00557484"/>
    <w:rsid w:val="005605E1"/>
    <w:rsid w:val="00560CFC"/>
    <w:rsid w:val="00561799"/>
    <w:rsid w:val="00561B76"/>
    <w:rsid w:val="00564A32"/>
    <w:rsid w:val="00572598"/>
    <w:rsid w:val="00574499"/>
    <w:rsid w:val="00583CDA"/>
    <w:rsid w:val="00585D64"/>
    <w:rsid w:val="00587543"/>
    <w:rsid w:val="00592725"/>
    <w:rsid w:val="00593AF3"/>
    <w:rsid w:val="005959A3"/>
    <w:rsid w:val="00597936"/>
    <w:rsid w:val="005A21F5"/>
    <w:rsid w:val="005A6E03"/>
    <w:rsid w:val="005B021D"/>
    <w:rsid w:val="005B3689"/>
    <w:rsid w:val="005B5DBB"/>
    <w:rsid w:val="005B6A35"/>
    <w:rsid w:val="005C1BE8"/>
    <w:rsid w:val="005D620D"/>
    <w:rsid w:val="005E081C"/>
    <w:rsid w:val="005E348E"/>
    <w:rsid w:val="005E3ADF"/>
    <w:rsid w:val="005E583E"/>
    <w:rsid w:val="005F10D6"/>
    <w:rsid w:val="005F3AFD"/>
    <w:rsid w:val="00601B26"/>
    <w:rsid w:val="00604ECD"/>
    <w:rsid w:val="00610799"/>
    <w:rsid w:val="00613085"/>
    <w:rsid w:val="006134EC"/>
    <w:rsid w:val="006237E5"/>
    <w:rsid w:val="0062538C"/>
    <w:rsid w:val="006256A2"/>
    <w:rsid w:val="00625B2D"/>
    <w:rsid w:val="00631548"/>
    <w:rsid w:val="0063202A"/>
    <w:rsid w:val="006320E4"/>
    <w:rsid w:val="00632DBF"/>
    <w:rsid w:val="0063433F"/>
    <w:rsid w:val="006348D8"/>
    <w:rsid w:val="00634FBE"/>
    <w:rsid w:val="0064174B"/>
    <w:rsid w:val="00643F82"/>
    <w:rsid w:val="00652825"/>
    <w:rsid w:val="00653C5A"/>
    <w:rsid w:val="00653DB9"/>
    <w:rsid w:val="00656101"/>
    <w:rsid w:val="006574F4"/>
    <w:rsid w:val="00657CEF"/>
    <w:rsid w:val="00663661"/>
    <w:rsid w:val="00664A7E"/>
    <w:rsid w:val="00665084"/>
    <w:rsid w:val="0066542B"/>
    <w:rsid w:val="006665B2"/>
    <w:rsid w:val="00670B2C"/>
    <w:rsid w:val="00670F56"/>
    <w:rsid w:val="00672229"/>
    <w:rsid w:val="00673358"/>
    <w:rsid w:val="00674FDE"/>
    <w:rsid w:val="00683AB3"/>
    <w:rsid w:val="00687604"/>
    <w:rsid w:val="0069276E"/>
    <w:rsid w:val="00692A08"/>
    <w:rsid w:val="00693F31"/>
    <w:rsid w:val="0069515E"/>
    <w:rsid w:val="00697024"/>
    <w:rsid w:val="006B13D0"/>
    <w:rsid w:val="006B6F4E"/>
    <w:rsid w:val="006C0A53"/>
    <w:rsid w:val="006C418A"/>
    <w:rsid w:val="006C7D65"/>
    <w:rsid w:val="006D02C0"/>
    <w:rsid w:val="006D24E5"/>
    <w:rsid w:val="006D3E7B"/>
    <w:rsid w:val="006D6A2A"/>
    <w:rsid w:val="006D6A9F"/>
    <w:rsid w:val="006E233A"/>
    <w:rsid w:val="006E2810"/>
    <w:rsid w:val="006E378A"/>
    <w:rsid w:val="006E6C62"/>
    <w:rsid w:val="006E6D2F"/>
    <w:rsid w:val="006F121B"/>
    <w:rsid w:val="006F2560"/>
    <w:rsid w:val="006F2C7A"/>
    <w:rsid w:val="006F3C6B"/>
    <w:rsid w:val="00701758"/>
    <w:rsid w:val="00702DE7"/>
    <w:rsid w:val="00705DBA"/>
    <w:rsid w:val="007069DF"/>
    <w:rsid w:val="007076CC"/>
    <w:rsid w:val="00707E0B"/>
    <w:rsid w:val="00710A7F"/>
    <w:rsid w:val="00711E3E"/>
    <w:rsid w:val="00717509"/>
    <w:rsid w:val="0071774D"/>
    <w:rsid w:val="00721B51"/>
    <w:rsid w:val="00723B16"/>
    <w:rsid w:val="00723F87"/>
    <w:rsid w:val="007256F6"/>
    <w:rsid w:val="00735977"/>
    <w:rsid w:val="00736C14"/>
    <w:rsid w:val="007410D8"/>
    <w:rsid w:val="0074396B"/>
    <w:rsid w:val="0074429B"/>
    <w:rsid w:val="00744BB8"/>
    <w:rsid w:val="0074508E"/>
    <w:rsid w:val="00747F9A"/>
    <w:rsid w:val="007524C1"/>
    <w:rsid w:val="00753579"/>
    <w:rsid w:val="00754F87"/>
    <w:rsid w:val="007556A9"/>
    <w:rsid w:val="0075653A"/>
    <w:rsid w:val="00756FF5"/>
    <w:rsid w:val="0075738E"/>
    <w:rsid w:val="00761EF3"/>
    <w:rsid w:val="00770A61"/>
    <w:rsid w:val="00770AA6"/>
    <w:rsid w:val="00773410"/>
    <w:rsid w:val="00777C46"/>
    <w:rsid w:val="00780462"/>
    <w:rsid w:val="0078154F"/>
    <w:rsid w:val="00783CF1"/>
    <w:rsid w:val="007847B0"/>
    <w:rsid w:val="00790EDE"/>
    <w:rsid w:val="00792AE1"/>
    <w:rsid w:val="00792C57"/>
    <w:rsid w:val="007A3D40"/>
    <w:rsid w:val="007A7E96"/>
    <w:rsid w:val="007B17A7"/>
    <w:rsid w:val="007B1CA4"/>
    <w:rsid w:val="007B244C"/>
    <w:rsid w:val="007B4DFB"/>
    <w:rsid w:val="007B5E1E"/>
    <w:rsid w:val="007B7C14"/>
    <w:rsid w:val="007B7C6F"/>
    <w:rsid w:val="007C4A22"/>
    <w:rsid w:val="007C7CD4"/>
    <w:rsid w:val="007D227F"/>
    <w:rsid w:val="007D518E"/>
    <w:rsid w:val="007E0236"/>
    <w:rsid w:val="007E0616"/>
    <w:rsid w:val="007E16F1"/>
    <w:rsid w:val="007E2225"/>
    <w:rsid w:val="007E3BC2"/>
    <w:rsid w:val="007E401C"/>
    <w:rsid w:val="007F2CBB"/>
    <w:rsid w:val="007F6D5B"/>
    <w:rsid w:val="00801E32"/>
    <w:rsid w:val="00805CAA"/>
    <w:rsid w:val="00806C47"/>
    <w:rsid w:val="00810417"/>
    <w:rsid w:val="008112C4"/>
    <w:rsid w:val="0081175A"/>
    <w:rsid w:val="00812FCE"/>
    <w:rsid w:val="008152C4"/>
    <w:rsid w:val="00816037"/>
    <w:rsid w:val="008203ED"/>
    <w:rsid w:val="008225FF"/>
    <w:rsid w:val="00823327"/>
    <w:rsid w:val="00823D3D"/>
    <w:rsid w:val="00826594"/>
    <w:rsid w:val="00826F6A"/>
    <w:rsid w:val="00826FAC"/>
    <w:rsid w:val="008311D3"/>
    <w:rsid w:val="00831543"/>
    <w:rsid w:val="00831BC0"/>
    <w:rsid w:val="00831E8B"/>
    <w:rsid w:val="00836841"/>
    <w:rsid w:val="00837D71"/>
    <w:rsid w:val="0084046F"/>
    <w:rsid w:val="00842686"/>
    <w:rsid w:val="008452CB"/>
    <w:rsid w:val="00845797"/>
    <w:rsid w:val="008470F1"/>
    <w:rsid w:val="0085168C"/>
    <w:rsid w:val="00852859"/>
    <w:rsid w:val="00855AEF"/>
    <w:rsid w:val="0086063F"/>
    <w:rsid w:val="00862E0E"/>
    <w:rsid w:val="00870AF8"/>
    <w:rsid w:val="00873CBE"/>
    <w:rsid w:val="008865AE"/>
    <w:rsid w:val="00886878"/>
    <w:rsid w:val="00887D34"/>
    <w:rsid w:val="0089303B"/>
    <w:rsid w:val="00893F2D"/>
    <w:rsid w:val="0089611D"/>
    <w:rsid w:val="008A3502"/>
    <w:rsid w:val="008A5D6C"/>
    <w:rsid w:val="008B1004"/>
    <w:rsid w:val="008B7AD2"/>
    <w:rsid w:val="008C5616"/>
    <w:rsid w:val="008C61FF"/>
    <w:rsid w:val="008C7EC1"/>
    <w:rsid w:val="008D07C0"/>
    <w:rsid w:val="008D1630"/>
    <w:rsid w:val="008E1DB3"/>
    <w:rsid w:val="008E52B2"/>
    <w:rsid w:val="008E67F6"/>
    <w:rsid w:val="008F1006"/>
    <w:rsid w:val="008F1A30"/>
    <w:rsid w:val="008F1E24"/>
    <w:rsid w:val="008F308C"/>
    <w:rsid w:val="008F4921"/>
    <w:rsid w:val="008F4F87"/>
    <w:rsid w:val="008F4F9A"/>
    <w:rsid w:val="008F54BD"/>
    <w:rsid w:val="008F75A9"/>
    <w:rsid w:val="00900827"/>
    <w:rsid w:val="0090501F"/>
    <w:rsid w:val="00905328"/>
    <w:rsid w:val="00906827"/>
    <w:rsid w:val="00913022"/>
    <w:rsid w:val="00914E98"/>
    <w:rsid w:val="009163E8"/>
    <w:rsid w:val="00916EA7"/>
    <w:rsid w:val="00920510"/>
    <w:rsid w:val="009228F4"/>
    <w:rsid w:val="009234A1"/>
    <w:rsid w:val="00923FA6"/>
    <w:rsid w:val="0092781C"/>
    <w:rsid w:val="0093292F"/>
    <w:rsid w:val="009369D4"/>
    <w:rsid w:val="009377C5"/>
    <w:rsid w:val="00942B23"/>
    <w:rsid w:val="00944F39"/>
    <w:rsid w:val="0095328E"/>
    <w:rsid w:val="00955B5E"/>
    <w:rsid w:val="00956706"/>
    <w:rsid w:val="00956A9E"/>
    <w:rsid w:val="00961A5E"/>
    <w:rsid w:val="00965965"/>
    <w:rsid w:val="009711B5"/>
    <w:rsid w:val="00972F13"/>
    <w:rsid w:val="009755DC"/>
    <w:rsid w:val="00976048"/>
    <w:rsid w:val="00980AB1"/>
    <w:rsid w:val="00983CE7"/>
    <w:rsid w:val="00983DD7"/>
    <w:rsid w:val="009845E6"/>
    <w:rsid w:val="00984DF4"/>
    <w:rsid w:val="00986B3D"/>
    <w:rsid w:val="00992541"/>
    <w:rsid w:val="00992A36"/>
    <w:rsid w:val="0099478A"/>
    <w:rsid w:val="00997267"/>
    <w:rsid w:val="009A0063"/>
    <w:rsid w:val="009A5843"/>
    <w:rsid w:val="009A5C7F"/>
    <w:rsid w:val="009A5E75"/>
    <w:rsid w:val="009B3FEE"/>
    <w:rsid w:val="009B48BE"/>
    <w:rsid w:val="009B52B7"/>
    <w:rsid w:val="009B52E4"/>
    <w:rsid w:val="009B7909"/>
    <w:rsid w:val="009C0B21"/>
    <w:rsid w:val="009C1202"/>
    <w:rsid w:val="009C1F48"/>
    <w:rsid w:val="009C262B"/>
    <w:rsid w:val="009C2A69"/>
    <w:rsid w:val="009C2CAB"/>
    <w:rsid w:val="009C5A53"/>
    <w:rsid w:val="009C5AFD"/>
    <w:rsid w:val="009C7C4B"/>
    <w:rsid w:val="009D0A90"/>
    <w:rsid w:val="009D14AE"/>
    <w:rsid w:val="009D3919"/>
    <w:rsid w:val="009E3013"/>
    <w:rsid w:val="009E32F4"/>
    <w:rsid w:val="009E3663"/>
    <w:rsid w:val="009E4435"/>
    <w:rsid w:val="009E5AE9"/>
    <w:rsid w:val="009E5D7A"/>
    <w:rsid w:val="009F522F"/>
    <w:rsid w:val="00A00DFE"/>
    <w:rsid w:val="00A05558"/>
    <w:rsid w:val="00A06C24"/>
    <w:rsid w:val="00A07647"/>
    <w:rsid w:val="00A078A1"/>
    <w:rsid w:val="00A07E26"/>
    <w:rsid w:val="00A10157"/>
    <w:rsid w:val="00A14DB3"/>
    <w:rsid w:val="00A17F95"/>
    <w:rsid w:val="00A2006F"/>
    <w:rsid w:val="00A20F0D"/>
    <w:rsid w:val="00A21553"/>
    <w:rsid w:val="00A21C4F"/>
    <w:rsid w:val="00A22B3B"/>
    <w:rsid w:val="00A24CDE"/>
    <w:rsid w:val="00A24D2A"/>
    <w:rsid w:val="00A30CE4"/>
    <w:rsid w:val="00A3170B"/>
    <w:rsid w:val="00A34BE7"/>
    <w:rsid w:val="00A354CB"/>
    <w:rsid w:val="00A359B5"/>
    <w:rsid w:val="00A40ADF"/>
    <w:rsid w:val="00A429FF"/>
    <w:rsid w:val="00A42E80"/>
    <w:rsid w:val="00A43D62"/>
    <w:rsid w:val="00A455EE"/>
    <w:rsid w:val="00A53555"/>
    <w:rsid w:val="00A5513B"/>
    <w:rsid w:val="00A56A99"/>
    <w:rsid w:val="00A622D6"/>
    <w:rsid w:val="00A64CD1"/>
    <w:rsid w:val="00A65AF2"/>
    <w:rsid w:val="00A72DB9"/>
    <w:rsid w:val="00A77384"/>
    <w:rsid w:val="00A8283C"/>
    <w:rsid w:val="00A837D3"/>
    <w:rsid w:val="00A84B93"/>
    <w:rsid w:val="00A86336"/>
    <w:rsid w:val="00AA53C0"/>
    <w:rsid w:val="00AA68C3"/>
    <w:rsid w:val="00AB2489"/>
    <w:rsid w:val="00AB3CDB"/>
    <w:rsid w:val="00AB71D4"/>
    <w:rsid w:val="00AC0C88"/>
    <w:rsid w:val="00AC1C0F"/>
    <w:rsid w:val="00AC20F7"/>
    <w:rsid w:val="00AC2D02"/>
    <w:rsid w:val="00AC2F4F"/>
    <w:rsid w:val="00AC396B"/>
    <w:rsid w:val="00AC4875"/>
    <w:rsid w:val="00AD0DFF"/>
    <w:rsid w:val="00AD2404"/>
    <w:rsid w:val="00AD3503"/>
    <w:rsid w:val="00AD3FD4"/>
    <w:rsid w:val="00AE3300"/>
    <w:rsid w:val="00AE7B64"/>
    <w:rsid w:val="00AF10BF"/>
    <w:rsid w:val="00AF2F63"/>
    <w:rsid w:val="00AF36FB"/>
    <w:rsid w:val="00AF50E6"/>
    <w:rsid w:val="00AF6E6F"/>
    <w:rsid w:val="00B05269"/>
    <w:rsid w:val="00B15042"/>
    <w:rsid w:val="00B17704"/>
    <w:rsid w:val="00B20626"/>
    <w:rsid w:val="00B20938"/>
    <w:rsid w:val="00B22AA2"/>
    <w:rsid w:val="00B24544"/>
    <w:rsid w:val="00B25320"/>
    <w:rsid w:val="00B311F6"/>
    <w:rsid w:val="00B32A01"/>
    <w:rsid w:val="00B3731C"/>
    <w:rsid w:val="00B473B2"/>
    <w:rsid w:val="00B47743"/>
    <w:rsid w:val="00B528C8"/>
    <w:rsid w:val="00B5330A"/>
    <w:rsid w:val="00B54137"/>
    <w:rsid w:val="00B56A99"/>
    <w:rsid w:val="00B56C07"/>
    <w:rsid w:val="00B56DC9"/>
    <w:rsid w:val="00B57EF3"/>
    <w:rsid w:val="00B6717F"/>
    <w:rsid w:val="00B71634"/>
    <w:rsid w:val="00B71E64"/>
    <w:rsid w:val="00B72314"/>
    <w:rsid w:val="00B81524"/>
    <w:rsid w:val="00B8196A"/>
    <w:rsid w:val="00B8197C"/>
    <w:rsid w:val="00B84DBA"/>
    <w:rsid w:val="00B8589C"/>
    <w:rsid w:val="00B874D9"/>
    <w:rsid w:val="00B8780E"/>
    <w:rsid w:val="00B9106B"/>
    <w:rsid w:val="00B93777"/>
    <w:rsid w:val="00B94168"/>
    <w:rsid w:val="00B979D0"/>
    <w:rsid w:val="00BB2067"/>
    <w:rsid w:val="00BB5C88"/>
    <w:rsid w:val="00BB7D90"/>
    <w:rsid w:val="00BC0F6B"/>
    <w:rsid w:val="00BC1478"/>
    <w:rsid w:val="00BC488F"/>
    <w:rsid w:val="00BC4BAF"/>
    <w:rsid w:val="00BC53FC"/>
    <w:rsid w:val="00BC6AAE"/>
    <w:rsid w:val="00BC70C1"/>
    <w:rsid w:val="00BD24D5"/>
    <w:rsid w:val="00BD4062"/>
    <w:rsid w:val="00BD5A73"/>
    <w:rsid w:val="00BD7BBD"/>
    <w:rsid w:val="00BD7F64"/>
    <w:rsid w:val="00BE3099"/>
    <w:rsid w:val="00BE411D"/>
    <w:rsid w:val="00BE7726"/>
    <w:rsid w:val="00BE7ED1"/>
    <w:rsid w:val="00BF39C1"/>
    <w:rsid w:val="00BF5848"/>
    <w:rsid w:val="00BF5B42"/>
    <w:rsid w:val="00BF78FA"/>
    <w:rsid w:val="00BF7E06"/>
    <w:rsid w:val="00C00746"/>
    <w:rsid w:val="00C031C9"/>
    <w:rsid w:val="00C13C2B"/>
    <w:rsid w:val="00C14A68"/>
    <w:rsid w:val="00C15F43"/>
    <w:rsid w:val="00C17B21"/>
    <w:rsid w:val="00C35552"/>
    <w:rsid w:val="00C46604"/>
    <w:rsid w:val="00C5102E"/>
    <w:rsid w:val="00C51240"/>
    <w:rsid w:val="00C51FA5"/>
    <w:rsid w:val="00C526B7"/>
    <w:rsid w:val="00C5302E"/>
    <w:rsid w:val="00C53082"/>
    <w:rsid w:val="00C5428F"/>
    <w:rsid w:val="00C54344"/>
    <w:rsid w:val="00C54DED"/>
    <w:rsid w:val="00C55095"/>
    <w:rsid w:val="00C61D62"/>
    <w:rsid w:val="00C6407A"/>
    <w:rsid w:val="00C675D2"/>
    <w:rsid w:val="00C75614"/>
    <w:rsid w:val="00C75C7F"/>
    <w:rsid w:val="00C76C33"/>
    <w:rsid w:val="00C76F7E"/>
    <w:rsid w:val="00C77C79"/>
    <w:rsid w:val="00C77E1E"/>
    <w:rsid w:val="00C80311"/>
    <w:rsid w:val="00C80545"/>
    <w:rsid w:val="00C80738"/>
    <w:rsid w:val="00C81204"/>
    <w:rsid w:val="00C8186A"/>
    <w:rsid w:val="00C81C1D"/>
    <w:rsid w:val="00C825E1"/>
    <w:rsid w:val="00C8350C"/>
    <w:rsid w:val="00C87317"/>
    <w:rsid w:val="00C87FF0"/>
    <w:rsid w:val="00C91040"/>
    <w:rsid w:val="00C932D0"/>
    <w:rsid w:val="00C94EC8"/>
    <w:rsid w:val="00CA0ECB"/>
    <w:rsid w:val="00CA59FE"/>
    <w:rsid w:val="00CA657D"/>
    <w:rsid w:val="00CA7FB9"/>
    <w:rsid w:val="00CB2137"/>
    <w:rsid w:val="00CB23E0"/>
    <w:rsid w:val="00CB572C"/>
    <w:rsid w:val="00CC22EE"/>
    <w:rsid w:val="00CC7001"/>
    <w:rsid w:val="00CD0577"/>
    <w:rsid w:val="00CD0F9F"/>
    <w:rsid w:val="00CD0FC8"/>
    <w:rsid w:val="00CD13C3"/>
    <w:rsid w:val="00CD61DE"/>
    <w:rsid w:val="00CD6DDF"/>
    <w:rsid w:val="00CD7CC6"/>
    <w:rsid w:val="00CE023E"/>
    <w:rsid w:val="00CE18E8"/>
    <w:rsid w:val="00CE2F15"/>
    <w:rsid w:val="00CE5B31"/>
    <w:rsid w:val="00CF20E0"/>
    <w:rsid w:val="00CF5D69"/>
    <w:rsid w:val="00CF795E"/>
    <w:rsid w:val="00D002AE"/>
    <w:rsid w:val="00D0311B"/>
    <w:rsid w:val="00D04F60"/>
    <w:rsid w:val="00D0621F"/>
    <w:rsid w:val="00D10B8C"/>
    <w:rsid w:val="00D12EC6"/>
    <w:rsid w:val="00D137F0"/>
    <w:rsid w:val="00D15282"/>
    <w:rsid w:val="00D1660E"/>
    <w:rsid w:val="00D17A9E"/>
    <w:rsid w:val="00D24292"/>
    <w:rsid w:val="00D27345"/>
    <w:rsid w:val="00D37667"/>
    <w:rsid w:val="00D419B1"/>
    <w:rsid w:val="00D42286"/>
    <w:rsid w:val="00D43538"/>
    <w:rsid w:val="00D44F0C"/>
    <w:rsid w:val="00D46A3C"/>
    <w:rsid w:val="00D47AEF"/>
    <w:rsid w:val="00D5144C"/>
    <w:rsid w:val="00D54088"/>
    <w:rsid w:val="00D57675"/>
    <w:rsid w:val="00D57C00"/>
    <w:rsid w:val="00D57D6B"/>
    <w:rsid w:val="00D62DD7"/>
    <w:rsid w:val="00D70878"/>
    <w:rsid w:val="00D70944"/>
    <w:rsid w:val="00D75185"/>
    <w:rsid w:val="00D770F4"/>
    <w:rsid w:val="00D77316"/>
    <w:rsid w:val="00D801D3"/>
    <w:rsid w:val="00D83980"/>
    <w:rsid w:val="00D84C77"/>
    <w:rsid w:val="00D96B87"/>
    <w:rsid w:val="00D97291"/>
    <w:rsid w:val="00DA2ADF"/>
    <w:rsid w:val="00DA6E83"/>
    <w:rsid w:val="00DB039A"/>
    <w:rsid w:val="00DB1E12"/>
    <w:rsid w:val="00DB4E6E"/>
    <w:rsid w:val="00DB5C58"/>
    <w:rsid w:val="00DB5E1D"/>
    <w:rsid w:val="00DB6015"/>
    <w:rsid w:val="00DB66E3"/>
    <w:rsid w:val="00DC0045"/>
    <w:rsid w:val="00DC1B75"/>
    <w:rsid w:val="00DC2284"/>
    <w:rsid w:val="00DC3443"/>
    <w:rsid w:val="00DC40D4"/>
    <w:rsid w:val="00DC542F"/>
    <w:rsid w:val="00DC6700"/>
    <w:rsid w:val="00DD51B1"/>
    <w:rsid w:val="00DD6E67"/>
    <w:rsid w:val="00DE22A1"/>
    <w:rsid w:val="00DE5965"/>
    <w:rsid w:val="00DE59B3"/>
    <w:rsid w:val="00DE6404"/>
    <w:rsid w:val="00DE6B2B"/>
    <w:rsid w:val="00DE751B"/>
    <w:rsid w:val="00DF1AD0"/>
    <w:rsid w:val="00DF22A3"/>
    <w:rsid w:val="00DF4091"/>
    <w:rsid w:val="00DF6B1F"/>
    <w:rsid w:val="00E00227"/>
    <w:rsid w:val="00E01274"/>
    <w:rsid w:val="00E02104"/>
    <w:rsid w:val="00E04223"/>
    <w:rsid w:val="00E04F33"/>
    <w:rsid w:val="00E05A29"/>
    <w:rsid w:val="00E1106E"/>
    <w:rsid w:val="00E13085"/>
    <w:rsid w:val="00E14409"/>
    <w:rsid w:val="00E146B4"/>
    <w:rsid w:val="00E1632E"/>
    <w:rsid w:val="00E21FAE"/>
    <w:rsid w:val="00E22C3D"/>
    <w:rsid w:val="00E23728"/>
    <w:rsid w:val="00E2535A"/>
    <w:rsid w:val="00E25FE3"/>
    <w:rsid w:val="00E30DDC"/>
    <w:rsid w:val="00E32EDE"/>
    <w:rsid w:val="00E34DC4"/>
    <w:rsid w:val="00E37926"/>
    <w:rsid w:val="00E37EC5"/>
    <w:rsid w:val="00E426CB"/>
    <w:rsid w:val="00E4328C"/>
    <w:rsid w:val="00E442BA"/>
    <w:rsid w:val="00E449C4"/>
    <w:rsid w:val="00E44A41"/>
    <w:rsid w:val="00E50AD2"/>
    <w:rsid w:val="00E51414"/>
    <w:rsid w:val="00E517B6"/>
    <w:rsid w:val="00E5467E"/>
    <w:rsid w:val="00E563B1"/>
    <w:rsid w:val="00E56EF9"/>
    <w:rsid w:val="00E57D9A"/>
    <w:rsid w:val="00E63EC5"/>
    <w:rsid w:val="00E64BF3"/>
    <w:rsid w:val="00E71A0D"/>
    <w:rsid w:val="00E72151"/>
    <w:rsid w:val="00E7244A"/>
    <w:rsid w:val="00E75636"/>
    <w:rsid w:val="00E826D0"/>
    <w:rsid w:val="00E8660E"/>
    <w:rsid w:val="00E9071E"/>
    <w:rsid w:val="00E94A56"/>
    <w:rsid w:val="00E95B82"/>
    <w:rsid w:val="00E97F54"/>
    <w:rsid w:val="00EA3D60"/>
    <w:rsid w:val="00EA5985"/>
    <w:rsid w:val="00EB016C"/>
    <w:rsid w:val="00EB056D"/>
    <w:rsid w:val="00EB3E0B"/>
    <w:rsid w:val="00EC01BF"/>
    <w:rsid w:val="00EC1371"/>
    <w:rsid w:val="00EC1515"/>
    <w:rsid w:val="00EC16C5"/>
    <w:rsid w:val="00EC334C"/>
    <w:rsid w:val="00EC668E"/>
    <w:rsid w:val="00ED0501"/>
    <w:rsid w:val="00ED0959"/>
    <w:rsid w:val="00ED3233"/>
    <w:rsid w:val="00ED4605"/>
    <w:rsid w:val="00ED6154"/>
    <w:rsid w:val="00ED670E"/>
    <w:rsid w:val="00EE1A08"/>
    <w:rsid w:val="00EE3519"/>
    <w:rsid w:val="00EE37CE"/>
    <w:rsid w:val="00EE3FB0"/>
    <w:rsid w:val="00EE648E"/>
    <w:rsid w:val="00EF37DA"/>
    <w:rsid w:val="00EF44F8"/>
    <w:rsid w:val="00EF461D"/>
    <w:rsid w:val="00F012F3"/>
    <w:rsid w:val="00F037C8"/>
    <w:rsid w:val="00F0488E"/>
    <w:rsid w:val="00F05DF1"/>
    <w:rsid w:val="00F0647E"/>
    <w:rsid w:val="00F12253"/>
    <w:rsid w:val="00F12945"/>
    <w:rsid w:val="00F156F4"/>
    <w:rsid w:val="00F1719C"/>
    <w:rsid w:val="00F240EE"/>
    <w:rsid w:val="00F260F4"/>
    <w:rsid w:val="00F300B5"/>
    <w:rsid w:val="00F30FAD"/>
    <w:rsid w:val="00F34835"/>
    <w:rsid w:val="00F35B08"/>
    <w:rsid w:val="00F36862"/>
    <w:rsid w:val="00F371E0"/>
    <w:rsid w:val="00F37CBC"/>
    <w:rsid w:val="00F41FA9"/>
    <w:rsid w:val="00F43401"/>
    <w:rsid w:val="00F44344"/>
    <w:rsid w:val="00F46F7F"/>
    <w:rsid w:val="00F55B08"/>
    <w:rsid w:val="00F60477"/>
    <w:rsid w:val="00F6177A"/>
    <w:rsid w:val="00F62C6F"/>
    <w:rsid w:val="00F669A3"/>
    <w:rsid w:val="00F66F2B"/>
    <w:rsid w:val="00F75634"/>
    <w:rsid w:val="00F80A9E"/>
    <w:rsid w:val="00F824EC"/>
    <w:rsid w:val="00F86008"/>
    <w:rsid w:val="00F87A5F"/>
    <w:rsid w:val="00F90C25"/>
    <w:rsid w:val="00F96907"/>
    <w:rsid w:val="00F96F4F"/>
    <w:rsid w:val="00FA1E8B"/>
    <w:rsid w:val="00FA55A3"/>
    <w:rsid w:val="00FA79F5"/>
    <w:rsid w:val="00FB2CBC"/>
    <w:rsid w:val="00FB37FB"/>
    <w:rsid w:val="00FB7216"/>
    <w:rsid w:val="00FC06A3"/>
    <w:rsid w:val="00FC2075"/>
    <w:rsid w:val="00FC291A"/>
    <w:rsid w:val="00FC44C0"/>
    <w:rsid w:val="00FC480C"/>
    <w:rsid w:val="00FC6923"/>
    <w:rsid w:val="00FD043D"/>
    <w:rsid w:val="00FD19DB"/>
    <w:rsid w:val="00FD3373"/>
    <w:rsid w:val="00FD71CA"/>
    <w:rsid w:val="00FE0082"/>
    <w:rsid w:val="00FE1DEF"/>
    <w:rsid w:val="00FE376E"/>
    <w:rsid w:val="00FE4F18"/>
    <w:rsid w:val="00FF0A1D"/>
    <w:rsid w:val="00FF49A1"/>
    <w:rsid w:val="00FF79D5"/>
    <w:rsid w:val="0A3EE6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6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92A5E"/>
    <w:pPr>
      <w:widowControl w:val="0"/>
      <w:jc w:val="both"/>
    </w:pPr>
    <w:rPr>
      <w:kern w:val="2"/>
      <w:sz w:val="21"/>
      <w:szCs w:val="22"/>
    </w:rPr>
  </w:style>
  <w:style w:type="paragraph" w:styleId="1">
    <w:name w:val="heading 1"/>
    <w:basedOn w:val="a0"/>
    <w:next w:val="a0"/>
    <w:link w:val="1Char"/>
    <w:qFormat/>
    <w:rsid w:val="00AF6E6F"/>
    <w:pPr>
      <w:keepNext/>
      <w:keepLines/>
      <w:numPr>
        <w:numId w:val="4"/>
      </w:numPr>
      <w:spacing w:before="340" w:after="330" w:line="578" w:lineRule="auto"/>
      <w:outlineLvl w:val="0"/>
    </w:pPr>
    <w:rPr>
      <w:b/>
      <w:bCs/>
      <w:kern w:val="44"/>
      <w:sz w:val="28"/>
      <w:szCs w:val="44"/>
    </w:rPr>
  </w:style>
  <w:style w:type="paragraph" w:styleId="2">
    <w:name w:val="heading 2"/>
    <w:basedOn w:val="a0"/>
    <w:next w:val="a0"/>
    <w:link w:val="2Char"/>
    <w:uiPriority w:val="9"/>
    <w:unhideWhenUsed/>
    <w:qFormat/>
    <w:rsid w:val="00F41FA9"/>
    <w:pPr>
      <w:keepNext/>
      <w:keepLines/>
      <w:spacing w:before="260" w:beforeAutospacing="1" w:after="260" w:afterAutospacing="1" w:line="416" w:lineRule="auto"/>
      <w:ind w:left="284" w:firstLineChars="200" w:firstLine="200"/>
      <w:outlineLvl w:val="1"/>
    </w:pPr>
    <w:rPr>
      <w:rFonts w:ascii="Cambria" w:hAnsi="Cambria"/>
      <w:b/>
      <w:bCs/>
      <w:sz w:val="32"/>
      <w:szCs w:val="32"/>
    </w:rPr>
  </w:style>
  <w:style w:type="paragraph" w:styleId="3">
    <w:name w:val="heading 3"/>
    <w:basedOn w:val="a0"/>
    <w:next w:val="a0"/>
    <w:link w:val="3Char"/>
    <w:uiPriority w:val="9"/>
    <w:unhideWhenUsed/>
    <w:qFormat/>
    <w:rsid w:val="008F75A9"/>
    <w:pPr>
      <w:keepNext/>
      <w:keepLines/>
      <w:spacing w:before="260" w:beforeAutospacing="1" w:after="260" w:afterAutospacing="1" w:line="416" w:lineRule="auto"/>
      <w:ind w:left="284" w:firstLineChars="200" w:firstLine="200"/>
      <w:outlineLvl w:val="2"/>
    </w:pPr>
    <w:rPr>
      <w:b/>
      <w:bCs/>
      <w:sz w:val="28"/>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Char"/>
    <w:uiPriority w:val="99"/>
    <w:semiHidden/>
    <w:unhideWhenUsed/>
    <w:rsid w:val="00DC6700"/>
    <w:rPr>
      <w:sz w:val="18"/>
      <w:szCs w:val="18"/>
    </w:rPr>
  </w:style>
  <w:style w:type="character" w:customStyle="1" w:styleId="Char">
    <w:name w:val="批注框文本 Char"/>
    <w:basedOn w:val="a1"/>
    <w:link w:val="a4"/>
    <w:uiPriority w:val="99"/>
    <w:semiHidden/>
    <w:rsid w:val="00DC6700"/>
    <w:rPr>
      <w:sz w:val="18"/>
      <w:szCs w:val="18"/>
    </w:rPr>
  </w:style>
  <w:style w:type="paragraph" w:styleId="a5">
    <w:name w:val="header"/>
    <w:basedOn w:val="a0"/>
    <w:link w:val="Char0"/>
    <w:uiPriority w:val="99"/>
    <w:semiHidden/>
    <w:unhideWhenUsed/>
    <w:rsid w:val="00DC670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5"/>
    <w:uiPriority w:val="99"/>
    <w:semiHidden/>
    <w:rsid w:val="00DC6700"/>
    <w:rPr>
      <w:sz w:val="18"/>
      <w:szCs w:val="18"/>
    </w:rPr>
  </w:style>
  <w:style w:type="paragraph" w:styleId="a6">
    <w:name w:val="footer"/>
    <w:basedOn w:val="a0"/>
    <w:link w:val="Char1"/>
    <w:uiPriority w:val="99"/>
    <w:unhideWhenUsed/>
    <w:rsid w:val="00DC6700"/>
    <w:pPr>
      <w:tabs>
        <w:tab w:val="center" w:pos="4153"/>
        <w:tab w:val="right" w:pos="8306"/>
      </w:tabs>
      <w:snapToGrid w:val="0"/>
      <w:jc w:val="left"/>
    </w:pPr>
    <w:rPr>
      <w:sz w:val="18"/>
      <w:szCs w:val="18"/>
    </w:rPr>
  </w:style>
  <w:style w:type="character" w:customStyle="1" w:styleId="Char1">
    <w:name w:val="页脚 Char"/>
    <w:basedOn w:val="a1"/>
    <w:link w:val="a6"/>
    <w:uiPriority w:val="99"/>
    <w:rsid w:val="00DC6700"/>
    <w:rPr>
      <w:sz w:val="18"/>
      <w:szCs w:val="18"/>
    </w:rPr>
  </w:style>
  <w:style w:type="character" w:styleId="a7">
    <w:name w:val="Strong"/>
    <w:basedOn w:val="a1"/>
    <w:uiPriority w:val="22"/>
    <w:qFormat/>
    <w:rsid w:val="001E4DA1"/>
    <w:rPr>
      <w:b/>
      <w:bCs/>
    </w:rPr>
  </w:style>
  <w:style w:type="character" w:styleId="a8">
    <w:name w:val="Hyperlink"/>
    <w:basedOn w:val="a1"/>
    <w:uiPriority w:val="99"/>
    <w:unhideWhenUsed/>
    <w:rsid w:val="001E4DA1"/>
    <w:rPr>
      <w:color w:val="0000FF"/>
      <w:u w:val="single"/>
    </w:rPr>
  </w:style>
  <w:style w:type="character" w:customStyle="1" w:styleId="2Char">
    <w:name w:val="标题 2 Char"/>
    <w:basedOn w:val="a1"/>
    <w:link w:val="2"/>
    <w:uiPriority w:val="9"/>
    <w:rsid w:val="00F41FA9"/>
    <w:rPr>
      <w:rFonts w:ascii="Cambria" w:hAnsi="Cambria"/>
      <w:b/>
      <w:bCs/>
      <w:kern w:val="2"/>
      <w:sz w:val="32"/>
      <w:szCs w:val="32"/>
    </w:rPr>
  </w:style>
  <w:style w:type="character" w:customStyle="1" w:styleId="3Char">
    <w:name w:val="标题 3 Char"/>
    <w:basedOn w:val="a1"/>
    <w:link w:val="3"/>
    <w:uiPriority w:val="9"/>
    <w:rsid w:val="008F75A9"/>
    <w:rPr>
      <w:b/>
      <w:bCs/>
      <w:kern w:val="2"/>
      <w:sz w:val="28"/>
      <w:szCs w:val="32"/>
    </w:rPr>
  </w:style>
  <w:style w:type="character" w:customStyle="1" w:styleId="d11">
    <w:name w:val="d11"/>
    <w:basedOn w:val="a1"/>
    <w:rsid w:val="00F41FA9"/>
    <w:rPr>
      <w:rFonts w:hint="default"/>
      <w:spacing w:val="360"/>
      <w:sz w:val="21"/>
      <w:szCs w:val="21"/>
    </w:rPr>
  </w:style>
  <w:style w:type="paragraph" w:styleId="a9">
    <w:name w:val="List Paragraph"/>
    <w:basedOn w:val="a0"/>
    <w:uiPriority w:val="34"/>
    <w:qFormat/>
    <w:rsid w:val="00F41FA9"/>
    <w:pPr>
      <w:spacing w:before="100" w:beforeAutospacing="1" w:after="100" w:afterAutospacing="1" w:line="360" w:lineRule="auto"/>
      <w:ind w:left="284" w:firstLineChars="200" w:firstLine="420"/>
    </w:pPr>
  </w:style>
  <w:style w:type="paragraph" w:styleId="a">
    <w:name w:val="No Spacing"/>
    <w:aliases w:val="图"/>
    <w:uiPriority w:val="1"/>
    <w:qFormat/>
    <w:rsid w:val="00DC40D4"/>
    <w:pPr>
      <w:widowControl w:val="0"/>
      <w:numPr>
        <w:numId w:val="3"/>
      </w:numPr>
      <w:spacing w:before="100" w:beforeAutospacing="1" w:after="100" w:afterAutospacing="1"/>
      <w:jc w:val="both"/>
    </w:pPr>
    <w:rPr>
      <w:kern w:val="2"/>
      <w:sz w:val="21"/>
      <w:szCs w:val="22"/>
    </w:rPr>
  </w:style>
  <w:style w:type="paragraph" w:styleId="aa">
    <w:name w:val="Document Map"/>
    <w:basedOn w:val="a0"/>
    <w:link w:val="Char2"/>
    <w:uiPriority w:val="99"/>
    <w:semiHidden/>
    <w:unhideWhenUsed/>
    <w:rsid w:val="003E3D32"/>
    <w:rPr>
      <w:rFonts w:ascii="宋体"/>
      <w:sz w:val="18"/>
      <w:szCs w:val="18"/>
    </w:rPr>
  </w:style>
  <w:style w:type="character" w:customStyle="1" w:styleId="Char2">
    <w:name w:val="文档结构图 Char"/>
    <w:basedOn w:val="a1"/>
    <w:link w:val="aa"/>
    <w:uiPriority w:val="99"/>
    <w:semiHidden/>
    <w:rsid w:val="003E3D32"/>
    <w:rPr>
      <w:rFonts w:ascii="宋体"/>
      <w:kern w:val="2"/>
      <w:sz w:val="18"/>
      <w:szCs w:val="18"/>
    </w:rPr>
  </w:style>
  <w:style w:type="character" w:customStyle="1" w:styleId="1Char">
    <w:name w:val="标题 1 Char"/>
    <w:basedOn w:val="a1"/>
    <w:link w:val="1"/>
    <w:rsid w:val="00AF6E6F"/>
    <w:rPr>
      <w:b/>
      <w:bCs/>
      <w:kern w:val="44"/>
      <w:sz w:val="28"/>
      <w:szCs w:val="44"/>
    </w:rPr>
  </w:style>
  <w:style w:type="paragraph" w:styleId="TOC">
    <w:name w:val="TOC Heading"/>
    <w:basedOn w:val="1"/>
    <w:next w:val="a0"/>
    <w:uiPriority w:val="39"/>
    <w:semiHidden/>
    <w:unhideWhenUsed/>
    <w:qFormat/>
    <w:rsid w:val="00B54137"/>
    <w:pPr>
      <w:widowControl/>
      <w:spacing w:before="480" w:after="0" w:line="276" w:lineRule="auto"/>
      <w:jc w:val="left"/>
      <w:outlineLvl w:val="9"/>
    </w:pPr>
    <w:rPr>
      <w:rFonts w:ascii="Cambria" w:hAnsi="Cambria"/>
      <w:color w:val="365F91"/>
      <w:kern w:val="0"/>
      <w:szCs w:val="28"/>
    </w:rPr>
  </w:style>
  <w:style w:type="paragraph" w:styleId="20">
    <w:name w:val="toc 2"/>
    <w:basedOn w:val="a0"/>
    <w:next w:val="a0"/>
    <w:autoRedefine/>
    <w:uiPriority w:val="39"/>
    <w:unhideWhenUsed/>
    <w:qFormat/>
    <w:rsid w:val="006F2C7A"/>
    <w:pPr>
      <w:tabs>
        <w:tab w:val="left" w:pos="1050"/>
        <w:tab w:val="right" w:leader="dot" w:pos="8296"/>
      </w:tabs>
      <w:ind w:leftChars="200" w:left="420"/>
    </w:pPr>
  </w:style>
  <w:style w:type="paragraph" w:styleId="30">
    <w:name w:val="toc 3"/>
    <w:basedOn w:val="a0"/>
    <w:next w:val="a0"/>
    <w:autoRedefine/>
    <w:uiPriority w:val="39"/>
    <w:unhideWhenUsed/>
    <w:qFormat/>
    <w:rsid w:val="00B54137"/>
    <w:pPr>
      <w:ind w:leftChars="400" w:left="840"/>
    </w:pPr>
  </w:style>
  <w:style w:type="paragraph" w:customStyle="1" w:styleId="Default">
    <w:name w:val="Default"/>
    <w:rsid w:val="003502FD"/>
    <w:pPr>
      <w:widowControl w:val="0"/>
      <w:autoSpaceDE w:val="0"/>
      <w:autoSpaceDN w:val="0"/>
      <w:adjustRightInd w:val="0"/>
    </w:pPr>
    <w:rPr>
      <w:rFonts w:ascii="楷体_GB2312" w:eastAsia="楷体_GB2312" w:cs="楷体_GB2312"/>
      <w:color w:val="000000"/>
      <w:sz w:val="24"/>
      <w:szCs w:val="24"/>
    </w:rPr>
  </w:style>
  <w:style w:type="paragraph" w:customStyle="1" w:styleId="10">
    <w:name w:val="列出段落1"/>
    <w:basedOn w:val="a0"/>
    <w:rsid w:val="0074508E"/>
    <w:pPr>
      <w:spacing w:line="360" w:lineRule="auto"/>
      <w:ind w:firstLineChars="200" w:firstLine="420"/>
    </w:pPr>
  </w:style>
  <w:style w:type="paragraph" w:styleId="ab">
    <w:name w:val="Title"/>
    <w:basedOn w:val="a0"/>
    <w:next w:val="a0"/>
    <w:link w:val="Char3"/>
    <w:qFormat/>
    <w:rsid w:val="0074508E"/>
    <w:pPr>
      <w:spacing w:before="240" w:after="60" w:line="360" w:lineRule="auto"/>
      <w:jc w:val="center"/>
      <w:outlineLvl w:val="0"/>
    </w:pPr>
    <w:rPr>
      <w:rFonts w:ascii="Cambria" w:hAnsi="Cambria"/>
      <w:b/>
      <w:bCs/>
      <w:sz w:val="32"/>
      <w:szCs w:val="32"/>
    </w:rPr>
  </w:style>
  <w:style w:type="character" w:customStyle="1" w:styleId="Char3">
    <w:name w:val="标题 Char"/>
    <w:basedOn w:val="a1"/>
    <w:link w:val="ab"/>
    <w:rsid w:val="0074508E"/>
    <w:rPr>
      <w:rFonts w:ascii="Cambria" w:hAnsi="Cambria"/>
      <w:b/>
      <w:bCs/>
      <w:kern w:val="2"/>
      <w:sz w:val="32"/>
      <w:szCs w:val="32"/>
    </w:rPr>
  </w:style>
  <w:style w:type="paragraph" w:styleId="ac">
    <w:name w:val="Normal (Web)"/>
    <w:basedOn w:val="a0"/>
    <w:uiPriority w:val="99"/>
    <w:rsid w:val="0074508E"/>
    <w:pPr>
      <w:widowControl/>
      <w:jc w:val="left"/>
    </w:pPr>
    <w:rPr>
      <w:rFonts w:ascii="宋体" w:hAnsi="宋体" w:cs="宋体"/>
      <w:kern w:val="0"/>
      <w:sz w:val="24"/>
      <w:szCs w:val="24"/>
    </w:rPr>
  </w:style>
  <w:style w:type="paragraph" w:styleId="11">
    <w:name w:val="toc 1"/>
    <w:basedOn w:val="a0"/>
    <w:next w:val="a0"/>
    <w:autoRedefine/>
    <w:uiPriority w:val="39"/>
    <w:unhideWhenUsed/>
    <w:qFormat/>
    <w:rsid w:val="0074508E"/>
    <w:pPr>
      <w:widowControl/>
      <w:spacing w:after="100" w:line="276" w:lineRule="auto"/>
      <w:jc w:val="left"/>
    </w:pPr>
    <w:rPr>
      <w:kern w:val="0"/>
      <w:sz w:val="22"/>
    </w:rPr>
  </w:style>
  <w:style w:type="table" w:styleId="ad">
    <w:name w:val="Table Grid"/>
    <w:basedOn w:val="a2"/>
    <w:uiPriority w:val="59"/>
    <w:rsid w:val="009947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5">
    <w:name w:val="Medium Shading 1 Accent 5"/>
    <w:basedOn w:val="a2"/>
    <w:uiPriority w:val="63"/>
    <w:rsid w:val="00433EC6"/>
    <w:rPr>
      <w:kern w:val="2"/>
      <w:sz w:val="21"/>
      <w:szCs w:val="22"/>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CCE8C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txtcontent11">
    <w:name w:val="txtcontent11"/>
    <w:basedOn w:val="a1"/>
    <w:rsid w:val="00DA6E83"/>
    <w:rPr>
      <w:rFonts w:ascii="ˎ̥" w:hAnsi="ˎ̥" w:hint="default"/>
      <w:b w:val="0"/>
      <w:bCs w:val="0"/>
      <w:color w:val="000000"/>
      <w:sz w:val="21"/>
      <w:szCs w:val="21"/>
    </w:rPr>
  </w:style>
  <w:style w:type="character" w:styleId="ae">
    <w:name w:val="Emphasis"/>
    <w:basedOn w:val="a1"/>
    <w:uiPriority w:val="20"/>
    <w:qFormat/>
    <w:rsid w:val="00547BC1"/>
    <w:rPr>
      <w:i w:val="0"/>
      <w:iCs w:val="0"/>
      <w:color w:val="CC0000"/>
    </w:rPr>
  </w:style>
  <w:style w:type="paragraph" w:styleId="af">
    <w:name w:val="caption"/>
    <w:aliases w:val="表"/>
    <w:basedOn w:val="a0"/>
    <w:next w:val="a0"/>
    <w:uiPriority w:val="35"/>
    <w:unhideWhenUsed/>
    <w:qFormat/>
    <w:rsid w:val="008F1E24"/>
    <w:rPr>
      <w:rFonts w:ascii="Cambria" w:eastAsia="黑体" w:hAnsi="Cambria"/>
      <w:sz w:val="20"/>
      <w:szCs w:val="20"/>
    </w:rPr>
  </w:style>
  <w:style w:type="table" w:styleId="-2">
    <w:name w:val="Light List Accent 2"/>
    <w:basedOn w:val="a2"/>
    <w:uiPriority w:val="61"/>
    <w:rsid w:val="00CF20E0"/>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CCE8C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s>
</file>

<file path=word/webSettings.xml><?xml version="1.0" encoding="utf-8"?>
<w:webSettings xmlns:r="http://schemas.openxmlformats.org/officeDocument/2006/relationships" xmlns:w="http://schemas.openxmlformats.org/wordprocessingml/2006/main">
  <w:divs>
    <w:div w:id="10645515">
      <w:bodyDiv w:val="1"/>
      <w:marLeft w:val="0"/>
      <w:marRight w:val="0"/>
      <w:marTop w:val="0"/>
      <w:marBottom w:val="0"/>
      <w:divBdr>
        <w:top w:val="none" w:sz="0" w:space="0" w:color="auto"/>
        <w:left w:val="none" w:sz="0" w:space="0" w:color="auto"/>
        <w:bottom w:val="none" w:sz="0" w:space="0" w:color="auto"/>
        <w:right w:val="none" w:sz="0" w:space="0" w:color="auto"/>
      </w:divBdr>
      <w:divsChild>
        <w:div w:id="695931145">
          <w:marLeft w:val="0"/>
          <w:marRight w:val="0"/>
          <w:marTop w:val="0"/>
          <w:marBottom w:val="0"/>
          <w:divBdr>
            <w:top w:val="none" w:sz="0" w:space="0" w:color="auto"/>
            <w:left w:val="none" w:sz="0" w:space="0" w:color="auto"/>
            <w:bottom w:val="none" w:sz="0" w:space="0" w:color="auto"/>
            <w:right w:val="none" w:sz="0" w:space="0" w:color="auto"/>
          </w:divBdr>
        </w:div>
      </w:divsChild>
    </w:div>
    <w:div w:id="11147489">
      <w:bodyDiv w:val="1"/>
      <w:marLeft w:val="0"/>
      <w:marRight w:val="0"/>
      <w:marTop w:val="0"/>
      <w:marBottom w:val="0"/>
      <w:divBdr>
        <w:top w:val="none" w:sz="0" w:space="0" w:color="auto"/>
        <w:left w:val="none" w:sz="0" w:space="0" w:color="auto"/>
        <w:bottom w:val="none" w:sz="0" w:space="0" w:color="auto"/>
        <w:right w:val="none" w:sz="0" w:space="0" w:color="auto"/>
      </w:divBdr>
      <w:divsChild>
        <w:div w:id="235482388">
          <w:marLeft w:val="0"/>
          <w:marRight w:val="0"/>
          <w:marTop w:val="0"/>
          <w:marBottom w:val="0"/>
          <w:divBdr>
            <w:top w:val="none" w:sz="0" w:space="0" w:color="auto"/>
            <w:left w:val="none" w:sz="0" w:space="0" w:color="auto"/>
            <w:bottom w:val="none" w:sz="0" w:space="0" w:color="auto"/>
            <w:right w:val="none" w:sz="0" w:space="0" w:color="auto"/>
          </w:divBdr>
        </w:div>
      </w:divsChild>
    </w:div>
    <w:div w:id="39941221">
      <w:bodyDiv w:val="1"/>
      <w:marLeft w:val="0"/>
      <w:marRight w:val="0"/>
      <w:marTop w:val="0"/>
      <w:marBottom w:val="0"/>
      <w:divBdr>
        <w:top w:val="none" w:sz="0" w:space="0" w:color="auto"/>
        <w:left w:val="none" w:sz="0" w:space="0" w:color="auto"/>
        <w:bottom w:val="none" w:sz="0" w:space="0" w:color="auto"/>
        <w:right w:val="none" w:sz="0" w:space="0" w:color="auto"/>
      </w:divBdr>
      <w:divsChild>
        <w:div w:id="1425304036">
          <w:marLeft w:val="0"/>
          <w:marRight w:val="0"/>
          <w:marTop w:val="0"/>
          <w:marBottom w:val="0"/>
          <w:divBdr>
            <w:top w:val="none" w:sz="0" w:space="0" w:color="auto"/>
            <w:left w:val="none" w:sz="0" w:space="0" w:color="auto"/>
            <w:bottom w:val="none" w:sz="0" w:space="0" w:color="auto"/>
            <w:right w:val="none" w:sz="0" w:space="0" w:color="auto"/>
          </w:divBdr>
        </w:div>
      </w:divsChild>
    </w:div>
    <w:div w:id="102892549">
      <w:bodyDiv w:val="1"/>
      <w:marLeft w:val="0"/>
      <w:marRight w:val="0"/>
      <w:marTop w:val="0"/>
      <w:marBottom w:val="0"/>
      <w:divBdr>
        <w:top w:val="none" w:sz="0" w:space="0" w:color="auto"/>
        <w:left w:val="none" w:sz="0" w:space="0" w:color="auto"/>
        <w:bottom w:val="none" w:sz="0" w:space="0" w:color="auto"/>
        <w:right w:val="none" w:sz="0" w:space="0" w:color="auto"/>
      </w:divBdr>
      <w:divsChild>
        <w:div w:id="1597203950">
          <w:marLeft w:val="0"/>
          <w:marRight w:val="0"/>
          <w:marTop w:val="0"/>
          <w:marBottom w:val="0"/>
          <w:divBdr>
            <w:top w:val="none" w:sz="0" w:space="0" w:color="auto"/>
            <w:left w:val="none" w:sz="0" w:space="0" w:color="auto"/>
            <w:bottom w:val="none" w:sz="0" w:space="0" w:color="auto"/>
            <w:right w:val="none" w:sz="0" w:space="0" w:color="auto"/>
          </w:divBdr>
        </w:div>
      </w:divsChild>
    </w:div>
    <w:div w:id="133497491">
      <w:bodyDiv w:val="1"/>
      <w:marLeft w:val="0"/>
      <w:marRight w:val="0"/>
      <w:marTop w:val="0"/>
      <w:marBottom w:val="0"/>
      <w:divBdr>
        <w:top w:val="none" w:sz="0" w:space="0" w:color="auto"/>
        <w:left w:val="none" w:sz="0" w:space="0" w:color="auto"/>
        <w:bottom w:val="none" w:sz="0" w:space="0" w:color="auto"/>
        <w:right w:val="none" w:sz="0" w:space="0" w:color="auto"/>
      </w:divBdr>
    </w:div>
    <w:div w:id="155730877">
      <w:bodyDiv w:val="1"/>
      <w:marLeft w:val="0"/>
      <w:marRight w:val="0"/>
      <w:marTop w:val="0"/>
      <w:marBottom w:val="0"/>
      <w:divBdr>
        <w:top w:val="none" w:sz="0" w:space="0" w:color="auto"/>
        <w:left w:val="none" w:sz="0" w:space="0" w:color="auto"/>
        <w:bottom w:val="none" w:sz="0" w:space="0" w:color="auto"/>
        <w:right w:val="none" w:sz="0" w:space="0" w:color="auto"/>
      </w:divBdr>
      <w:divsChild>
        <w:div w:id="1887985517">
          <w:marLeft w:val="0"/>
          <w:marRight w:val="0"/>
          <w:marTop w:val="0"/>
          <w:marBottom w:val="0"/>
          <w:divBdr>
            <w:top w:val="none" w:sz="0" w:space="0" w:color="auto"/>
            <w:left w:val="none" w:sz="0" w:space="0" w:color="auto"/>
            <w:bottom w:val="none" w:sz="0" w:space="0" w:color="auto"/>
            <w:right w:val="none" w:sz="0" w:space="0" w:color="auto"/>
          </w:divBdr>
        </w:div>
      </w:divsChild>
    </w:div>
    <w:div w:id="158815262">
      <w:bodyDiv w:val="1"/>
      <w:marLeft w:val="0"/>
      <w:marRight w:val="0"/>
      <w:marTop w:val="0"/>
      <w:marBottom w:val="0"/>
      <w:divBdr>
        <w:top w:val="none" w:sz="0" w:space="0" w:color="auto"/>
        <w:left w:val="none" w:sz="0" w:space="0" w:color="auto"/>
        <w:bottom w:val="none" w:sz="0" w:space="0" w:color="auto"/>
        <w:right w:val="none" w:sz="0" w:space="0" w:color="auto"/>
      </w:divBdr>
    </w:div>
    <w:div w:id="161704977">
      <w:bodyDiv w:val="1"/>
      <w:marLeft w:val="0"/>
      <w:marRight w:val="0"/>
      <w:marTop w:val="0"/>
      <w:marBottom w:val="0"/>
      <w:divBdr>
        <w:top w:val="none" w:sz="0" w:space="0" w:color="auto"/>
        <w:left w:val="none" w:sz="0" w:space="0" w:color="auto"/>
        <w:bottom w:val="none" w:sz="0" w:space="0" w:color="auto"/>
        <w:right w:val="none" w:sz="0" w:space="0" w:color="auto"/>
      </w:divBdr>
    </w:div>
    <w:div w:id="184177186">
      <w:bodyDiv w:val="1"/>
      <w:marLeft w:val="0"/>
      <w:marRight w:val="0"/>
      <w:marTop w:val="0"/>
      <w:marBottom w:val="0"/>
      <w:divBdr>
        <w:top w:val="none" w:sz="0" w:space="0" w:color="auto"/>
        <w:left w:val="none" w:sz="0" w:space="0" w:color="auto"/>
        <w:bottom w:val="none" w:sz="0" w:space="0" w:color="auto"/>
        <w:right w:val="none" w:sz="0" w:space="0" w:color="auto"/>
      </w:divBdr>
    </w:div>
    <w:div w:id="194007623">
      <w:bodyDiv w:val="1"/>
      <w:marLeft w:val="0"/>
      <w:marRight w:val="0"/>
      <w:marTop w:val="0"/>
      <w:marBottom w:val="0"/>
      <w:divBdr>
        <w:top w:val="none" w:sz="0" w:space="0" w:color="auto"/>
        <w:left w:val="none" w:sz="0" w:space="0" w:color="auto"/>
        <w:bottom w:val="none" w:sz="0" w:space="0" w:color="auto"/>
        <w:right w:val="none" w:sz="0" w:space="0" w:color="auto"/>
      </w:divBdr>
      <w:divsChild>
        <w:div w:id="619337591">
          <w:marLeft w:val="0"/>
          <w:marRight w:val="0"/>
          <w:marTop w:val="0"/>
          <w:marBottom w:val="0"/>
          <w:divBdr>
            <w:top w:val="none" w:sz="0" w:space="0" w:color="auto"/>
            <w:left w:val="none" w:sz="0" w:space="0" w:color="auto"/>
            <w:bottom w:val="none" w:sz="0" w:space="0" w:color="auto"/>
            <w:right w:val="none" w:sz="0" w:space="0" w:color="auto"/>
          </w:divBdr>
        </w:div>
      </w:divsChild>
    </w:div>
    <w:div w:id="264267381">
      <w:bodyDiv w:val="1"/>
      <w:marLeft w:val="0"/>
      <w:marRight w:val="0"/>
      <w:marTop w:val="0"/>
      <w:marBottom w:val="0"/>
      <w:divBdr>
        <w:top w:val="none" w:sz="0" w:space="0" w:color="auto"/>
        <w:left w:val="none" w:sz="0" w:space="0" w:color="auto"/>
        <w:bottom w:val="none" w:sz="0" w:space="0" w:color="auto"/>
        <w:right w:val="none" w:sz="0" w:space="0" w:color="auto"/>
      </w:divBdr>
    </w:div>
    <w:div w:id="264651514">
      <w:bodyDiv w:val="1"/>
      <w:marLeft w:val="0"/>
      <w:marRight w:val="0"/>
      <w:marTop w:val="0"/>
      <w:marBottom w:val="0"/>
      <w:divBdr>
        <w:top w:val="none" w:sz="0" w:space="0" w:color="auto"/>
        <w:left w:val="none" w:sz="0" w:space="0" w:color="auto"/>
        <w:bottom w:val="none" w:sz="0" w:space="0" w:color="auto"/>
        <w:right w:val="none" w:sz="0" w:space="0" w:color="auto"/>
      </w:divBdr>
    </w:div>
    <w:div w:id="366491658">
      <w:bodyDiv w:val="1"/>
      <w:marLeft w:val="0"/>
      <w:marRight w:val="0"/>
      <w:marTop w:val="0"/>
      <w:marBottom w:val="0"/>
      <w:divBdr>
        <w:top w:val="none" w:sz="0" w:space="0" w:color="auto"/>
        <w:left w:val="none" w:sz="0" w:space="0" w:color="auto"/>
        <w:bottom w:val="none" w:sz="0" w:space="0" w:color="auto"/>
        <w:right w:val="none" w:sz="0" w:space="0" w:color="auto"/>
      </w:divBdr>
    </w:div>
    <w:div w:id="421149947">
      <w:bodyDiv w:val="1"/>
      <w:marLeft w:val="0"/>
      <w:marRight w:val="0"/>
      <w:marTop w:val="0"/>
      <w:marBottom w:val="0"/>
      <w:divBdr>
        <w:top w:val="none" w:sz="0" w:space="0" w:color="auto"/>
        <w:left w:val="none" w:sz="0" w:space="0" w:color="auto"/>
        <w:bottom w:val="none" w:sz="0" w:space="0" w:color="auto"/>
        <w:right w:val="none" w:sz="0" w:space="0" w:color="auto"/>
      </w:divBdr>
    </w:div>
    <w:div w:id="435637190">
      <w:bodyDiv w:val="1"/>
      <w:marLeft w:val="0"/>
      <w:marRight w:val="0"/>
      <w:marTop w:val="0"/>
      <w:marBottom w:val="0"/>
      <w:divBdr>
        <w:top w:val="none" w:sz="0" w:space="0" w:color="auto"/>
        <w:left w:val="none" w:sz="0" w:space="0" w:color="auto"/>
        <w:bottom w:val="none" w:sz="0" w:space="0" w:color="auto"/>
        <w:right w:val="none" w:sz="0" w:space="0" w:color="auto"/>
      </w:divBdr>
    </w:div>
    <w:div w:id="505562835">
      <w:bodyDiv w:val="1"/>
      <w:marLeft w:val="0"/>
      <w:marRight w:val="0"/>
      <w:marTop w:val="0"/>
      <w:marBottom w:val="0"/>
      <w:divBdr>
        <w:top w:val="none" w:sz="0" w:space="0" w:color="auto"/>
        <w:left w:val="none" w:sz="0" w:space="0" w:color="auto"/>
        <w:bottom w:val="none" w:sz="0" w:space="0" w:color="auto"/>
        <w:right w:val="none" w:sz="0" w:space="0" w:color="auto"/>
      </w:divBdr>
    </w:div>
    <w:div w:id="521555368">
      <w:bodyDiv w:val="1"/>
      <w:marLeft w:val="0"/>
      <w:marRight w:val="0"/>
      <w:marTop w:val="0"/>
      <w:marBottom w:val="0"/>
      <w:divBdr>
        <w:top w:val="none" w:sz="0" w:space="0" w:color="auto"/>
        <w:left w:val="none" w:sz="0" w:space="0" w:color="auto"/>
        <w:bottom w:val="none" w:sz="0" w:space="0" w:color="auto"/>
        <w:right w:val="none" w:sz="0" w:space="0" w:color="auto"/>
      </w:divBdr>
      <w:divsChild>
        <w:div w:id="239876428">
          <w:marLeft w:val="0"/>
          <w:marRight w:val="0"/>
          <w:marTop w:val="0"/>
          <w:marBottom w:val="0"/>
          <w:divBdr>
            <w:top w:val="none" w:sz="0" w:space="0" w:color="auto"/>
            <w:left w:val="none" w:sz="0" w:space="0" w:color="auto"/>
            <w:bottom w:val="none" w:sz="0" w:space="0" w:color="auto"/>
            <w:right w:val="none" w:sz="0" w:space="0" w:color="auto"/>
          </w:divBdr>
        </w:div>
      </w:divsChild>
    </w:div>
    <w:div w:id="560139224">
      <w:bodyDiv w:val="1"/>
      <w:marLeft w:val="0"/>
      <w:marRight w:val="0"/>
      <w:marTop w:val="0"/>
      <w:marBottom w:val="0"/>
      <w:divBdr>
        <w:top w:val="none" w:sz="0" w:space="0" w:color="auto"/>
        <w:left w:val="none" w:sz="0" w:space="0" w:color="auto"/>
        <w:bottom w:val="none" w:sz="0" w:space="0" w:color="auto"/>
        <w:right w:val="none" w:sz="0" w:space="0" w:color="auto"/>
      </w:divBdr>
      <w:divsChild>
        <w:div w:id="2085445459">
          <w:marLeft w:val="0"/>
          <w:marRight w:val="0"/>
          <w:marTop w:val="0"/>
          <w:marBottom w:val="0"/>
          <w:divBdr>
            <w:top w:val="none" w:sz="0" w:space="0" w:color="auto"/>
            <w:left w:val="none" w:sz="0" w:space="0" w:color="auto"/>
            <w:bottom w:val="none" w:sz="0" w:space="0" w:color="auto"/>
            <w:right w:val="none" w:sz="0" w:space="0" w:color="auto"/>
          </w:divBdr>
        </w:div>
      </w:divsChild>
    </w:div>
    <w:div w:id="566957313">
      <w:bodyDiv w:val="1"/>
      <w:marLeft w:val="0"/>
      <w:marRight w:val="0"/>
      <w:marTop w:val="0"/>
      <w:marBottom w:val="0"/>
      <w:divBdr>
        <w:top w:val="none" w:sz="0" w:space="0" w:color="auto"/>
        <w:left w:val="none" w:sz="0" w:space="0" w:color="auto"/>
        <w:bottom w:val="none" w:sz="0" w:space="0" w:color="auto"/>
        <w:right w:val="none" w:sz="0" w:space="0" w:color="auto"/>
      </w:divBdr>
      <w:divsChild>
        <w:div w:id="1962490101">
          <w:marLeft w:val="0"/>
          <w:marRight w:val="0"/>
          <w:marTop w:val="0"/>
          <w:marBottom w:val="0"/>
          <w:divBdr>
            <w:top w:val="none" w:sz="0" w:space="0" w:color="auto"/>
            <w:left w:val="none" w:sz="0" w:space="0" w:color="auto"/>
            <w:bottom w:val="none" w:sz="0" w:space="0" w:color="auto"/>
            <w:right w:val="none" w:sz="0" w:space="0" w:color="auto"/>
          </w:divBdr>
        </w:div>
      </w:divsChild>
    </w:div>
    <w:div w:id="579485345">
      <w:bodyDiv w:val="1"/>
      <w:marLeft w:val="0"/>
      <w:marRight w:val="0"/>
      <w:marTop w:val="0"/>
      <w:marBottom w:val="0"/>
      <w:divBdr>
        <w:top w:val="none" w:sz="0" w:space="0" w:color="auto"/>
        <w:left w:val="none" w:sz="0" w:space="0" w:color="auto"/>
        <w:bottom w:val="none" w:sz="0" w:space="0" w:color="auto"/>
        <w:right w:val="none" w:sz="0" w:space="0" w:color="auto"/>
      </w:divBdr>
    </w:div>
    <w:div w:id="591625603">
      <w:bodyDiv w:val="1"/>
      <w:marLeft w:val="0"/>
      <w:marRight w:val="0"/>
      <w:marTop w:val="0"/>
      <w:marBottom w:val="0"/>
      <w:divBdr>
        <w:top w:val="none" w:sz="0" w:space="0" w:color="auto"/>
        <w:left w:val="none" w:sz="0" w:space="0" w:color="auto"/>
        <w:bottom w:val="none" w:sz="0" w:space="0" w:color="auto"/>
        <w:right w:val="none" w:sz="0" w:space="0" w:color="auto"/>
      </w:divBdr>
      <w:divsChild>
        <w:div w:id="2019192554">
          <w:marLeft w:val="0"/>
          <w:marRight w:val="0"/>
          <w:marTop w:val="0"/>
          <w:marBottom w:val="0"/>
          <w:divBdr>
            <w:top w:val="none" w:sz="0" w:space="0" w:color="auto"/>
            <w:left w:val="none" w:sz="0" w:space="0" w:color="auto"/>
            <w:bottom w:val="none" w:sz="0" w:space="0" w:color="auto"/>
            <w:right w:val="none" w:sz="0" w:space="0" w:color="auto"/>
          </w:divBdr>
        </w:div>
      </w:divsChild>
    </w:div>
    <w:div w:id="595603492">
      <w:bodyDiv w:val="1"/>
      <w:marLeft w:val="0"/>
      <w:marRight w:val="0"/>
      <w:marTop w:val="0"/>
      <w:marBottom w:val="0"/>
      <w:divBdr>
        <w:top w:val="none" w:sz="0" w:space="0" w:color="auto"/>
        <w:left w:val="none" w:sz="0" w:space="0" w:color="auto"/>
        <w:bottom w:val="none" w:sz="0" w:space="0" w:color="auto"/>
        <w:right w:val="none" w:sz="0" w:space="0" w:color="auto"/>
      </w:divBdr>
    </w:div>
    <w:div w:id="599531386">
      <w:bodyDiv w:val="1"/>
      <w:marLeft w:val="0"/>
      <w:marRight w:val="0"/>
      <w:marTop w:val="0"/>
      <w:marBottom w:val="0"/>
      <w:divBdr>
        <w:top w:val="none" w:sz="0" w:space="0" w:color="auto"/>
        <w:left w:val="none" w:sz="0" w:space="0" w:color="auto"/>
        <w:bottom w:val="none" w:sz="0" w:space="0" w:color="auto"/>
        <w:right w:val="none" w:sz="0" w:space="0" w:color="auto"/>
      </w:divBdr>
      <w:divsChild>
        <w:div w:id="1731686952">
          <w:marLeft w:val="0"/>
          <w:marRight w:val="0"/>
          <w:marTop w:val="0"/>
          <w:marBottom w:val="0"/>
          <w:divBdr>
            <w:top w:val="none" w:sz="0" w:space="0" w:color="auto"/>
            <w:left w:val="none" w:sz="0" w:space="0" w:color="auto"/>
            <w:bottom w:val="none" w:sz="0" w:space="0" w:color="auto"/>
            <w:right w:val="none" w:sz="0" w:space="0" w:color="auto"/>
          </w:divBdr>
        </w:div>
      </w:divsChild>
    </w:div>
    <w:div w:id="604920933">
      <w:bodyDiv w:val="1"/>
      <w:marLeft w:val="0"/>
      <w:marRight w:val="0"/>
      <w:marTop w:val="0"/>
      <w:marBottom w:val="0"/>
      <w:divBdr>
        <w:top w:val="none" w:sz="0" w:space="0" w:color="auto"/>
        <w:left w:val="none" w:sz="0" w:space="0" w:color="auto"/>
        <w:bottom w:val="none" w:sz="0" w:space="0" w:color="auto"/>
        <w:right w:val="none" w:sz="0" w:space="0" w:color="auto"/>
      </w:divBdr>
    </w:div>
    <w:div w:id="613756391">
      <w:bodyDiv w:val="1"/>
      <w:marLeft w:val="0"/>
      <w:marRight w:val="0"/>
      <w:marTop w:val="0"/>
      <w:marBottom w:val="0"/>
      <w:divBdr>
        <w:top w:val="none" w:sz="0" w:space="0" w:color="auto"/>
        <w:left w:val="none" w:sz="0" w:space="0" w:color="auto"/>
        <w:bottom w:val="none" w:sz="0" w:space="0" w:color="auto"/>
        <w:right w:val="none" w:sz="0" w:space="0" w:color="auto"/>
      </w:divBdr>
      <w:divsChild>
        <w:div w:id="1537085509">
          <w:marLeft w:val="0"/>
          <w:marRight w:val="0"/>
          <w:marTop w:val="0"/>
          <w:marBottom w:val="0"/>
          <w:divBdr>
            <w:top w:val="none" w:sz="0" w:space="0" w:color="auto"/>
            <w:left w:val="none" w:sz="0" w:space="0" w:color="auto"/>
            <w:bottom w:val="none" w:sz="0" w:space="0" w:color="auto"/>
            <w:right w:val="none" w:sz="0" w:space="0" w:color="auto"/>
          </w:divBdr>
        </w:div>
      </w:divsChild>
    </w:div>
    <w:div w:id="613944557">
      <w:bodyDiv w:val="1"/>
      <w:marLeft w:val="0"/>
      <w:marRight w:val="0"/>
      <w:marTop w:val="0"/>
      <w:marBottom w:val="0"/>
      <w:divBdr>
        <w:top w:val="none" w:sz="0" w:space="0" w:color="auto"/>
        <w:left w:val="none" w:sz="0" w:space="0" w:color="auto"/>
        <w:bottom w:val="none" w:sz="0" w:space="0" w:color="auto"/>
        <w:right w:val="none" w:sz="0" w:space="0" w:color="auto"/>
      </w:divBdr>
    </w:div>
    <w:div w:id="654144942">
      <w:bodyDiv w:val="1"/>
      <w:marLeft w:val="0"/>
      <w:marRight w:val="0"/>
      <w:marTop w:val="0"/>
      <w:marBottom w:val="0"/>
      <w:divBdr>
        <w:top w:val="none" w:sz="0" w:space="0" w:color="auto"/>
        <w:left w:val="none" w:sz="0" w:space="0" w:color="auto"/>
        <w:bottom w:val="none" w:sz="0" w:space="0" w:color="auto"/>
        <w:right w:val="none" w:sz="0" w:space="0" w:color="auto"/>
      </w:divBdr>
      <w:divsChild>
        <w:div w:id="797799416">
          <w:marLeft w:val="0"/>
          <w:marRight w:val="0"/>
          <w:marTop w:val="0"/>
          <w:marBottom w:val="0"/>
          <w:divBdr>
            <w:top w:val="none" w:sz="0" w:space="0" w:color="auto"/>
            <w:left w:val="none" w:sz="0" w:space="0" w:color="auto"/>
            <w:bottom w:val="none" w:sz="0" w:space="0" w:color="auto"/>
            <w:right w:val="none" w:sz="0" w:space="0" w:color="auto"/>
          </w:divBdr>
        </w:div>
      </w:divsChild>
    </w:div>
    <w:div w:id="727996114">
      <w:bodyDiv w:val="1"/>
      <w:marLeft w:val="0"/>
      <w:marRight w:val="0"/>
      <w:marTop w:val="0"/>
      <w:marBottom w:val="0"/>
      <w:divBdr>
        <w:top w:val="none" w:sz="0" w:space="0" w:color="auto"/>
        <w:left w:val="none" w:sz="0" w:space="0" w:color="auto"/>
        <w:bottom w:val="none" w:sz="0" w:space="0" w:color="auto"/>
        <w:right w:val="none" w:sz="0" w:space="0" w:color="auto"/>
      </w:divBdr>
      <w:divsChild>
        <w:div w:id="1807549301">
          <w:marLeft w:val="0"/>
          <w:marRight w:val="0"/>
          <w:marTop w:val="0"/>
          <w:marBottom w:val="0"/>
          <w:divBdr>
            <w:top w:val="none" w:sz="0" w:space="0" w:color="auto"/>
            <w:left w:val="none" w:sz="0" w:space="0" w:color="auto"/>
            <w:bottom w:val="none" w:sz="0" w:space="0" w:color="auto"/>
            <w:right w:val="none" w:sz="0" w:space="0" w:color="auto"/>
          </w:divBdr>
        </w:div>
      </w:divsChild>
    </w:div>
    <w:div w:id="743455881">
      <w:bodyDiv w:val="1"/>
      <w:marLeft w:val="0"/>
      <w:marRight w:val="0"/>
      <w:marTop w:val="0"/>
      <w:marBottom w:val="0"/>
      <w:divBdr>
        <w:top w:val="none" w:sz="0" w:space="0" w:color="auto"/>
        <w:left w:val="none" w:sz="0" w:space="0" w:color="auto"/>
        <w:bottom w:val="none" w:sz="0" w:space="0" w:color="auto"/>
        <w:right w:val="none" w:sz="0" w:space="0" w:color="auto"/>
      </w:divBdr>
      <w:divsChild>
        <w:div w:id="1665232291">
          <w:marLeft w:val="0"/>
          <w:marRight w:val="0"/>
          <w:marTop w:val="0"/>
          <w:marBottom w:val="0"/>
          <w:divBdr>
            <w:top w:val="none" w:sz="0" w:space="0" w:color="auto"/>
            <w:left w:val="none" w:sz="0" w:space="0" w:color="auto"/>
            <w:bottom w:val="none" w:sz="0" w:space="0" w:color="auto"/>
            <w:right w:val="none" w:sz="0" w:space="0" w:color="auto"/>
          </w:divBdr>
        </w:div>
      </w:divsChild>
    </w:div>
    <w:div w:id="768087130">
      <w:bodyDiv w:val="1"/>
      <w:marLeft w:val="0"/>
      <w:marRight w:val="0"/>
      <w:marTop w:val="0"/>
      <w:marBottom w:val="0"/>
      <w:divBdr>
        <w:top w:val="none" w:sz="0" w:space="0" w:color="auto"/>
        <w:left w:val="none" w:sz="0" w:space="0" w:color="auto"/>
        <w:bottom w:val="none" w:sz="0" w:space="0" w:color="auto"/>
        <w:right w:val="none" w:sz="0" w:space="0" w:color="auto"/>
      </w:divBdr>
      <w:divsChild>
        <w:div w:id="1661276075">
          <w:marLeft w:val="0"/>
          <w:marRight w:val="0"/>
          <w:marTop w:val="0"/>
          <w:marBottom w:val="0"/>
          <w:divBdr>
            <w:top w:val="none" w:sz="0" w:space="0" w:color="auto"/>
            <w:left w:val="none" w:sz="0" w:space="0" w:color="auto"/>
            <w:bottom w:val="none" w:sz="0" w:space="0" w:color="auto"/>
            <w:right w:val="none" w:sz="0" w:space="0" w:color="auto"/>
          </w:divBdr>
          <w:divsChild>
            <w:div w:id="24072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332672">
      <w:bodyDiv w:val="1"/>
      <w:marLeft w:val="0"/>
      <w:marRight w:val="0"/>
      <w:marTop w:val="0"/>
      <w:marBottom w:val="0"/>
      <w:divBdr>
        <w:top w:val="none" w:sz="0" w:space="0" w:color="auto"/>
        <w:left w:val="none" w:sz="0" w:space="0" w:color="auto"/>
        <w:bottom w:val="none" w:sz="0" w:space="0" w:color="auto"/>
        <w:right w:val="none" w:sz="0" w:space="0" w:color="auto"/>
      </w:divBdr>
      <w:divsChild>
        <w:div w:id="1290818714">
          <w:marLeft w:val="0"/>
          <w:marRight w:val="0"/>
          <w:marTop w:val="0"/>
          <w:marBottom w:val="0"/>
          <w:divBdr>
            <w:top w:val="none" w:sz="0" w:space="0" w:color="auto"/>
            <w:left w:val="none" w:sz="0" w:space="0" w:color="auto"/>
            <w:bottom w:val="none" w:sz="0" w:space="0" w:color="auto"/>
            <w:right w:val="none" w:sz="0" w:space="0" w:color="auto"/>
          </w:divBdr>
        </w:div>
      </w:divsChild>
    </w:div>
    <w:div w:id="832061557">
      <w:bodyDiv w:val="1"/>
      <w:marLeft w:val="0"/>
      <w:marRight w:val="0"/>
      <w:marTop w:val="0"/>
      <w:marBottom w:val="0"/>
      <w:divBdr>
        <w:top w:val="none" w:sz="0" w:space="0" w:color="auto"/>
        <w:left w:val="none" w:sz="0" w:space="0" w:color="auto"/>
        <w:bottom w:val="none" w:sz="0" w:space="0" w:color="auto"/>
        <w:right w:val="none" w:sz="0" w:space="0" w:color="auto"/>
      </w:divBdr>
      <w:divsChild>
        <w:div w:id="1524049687">
          <w:marLeft w:val="0"/>
          <w:marRight w:val="0"/>
          <w:marTop w:val="0"/>
          <w:marBottom w:val="0"/>
          <w:divBdr>
            <w:top w:val="none" w:sz="0" w:space="0" w:color="auto"/>
            <w:left w:val="none" w:sz="0" w:space="0" w:color="auto"/>
            <w:bottom w:val="none" w:sz="0" w:space="0" w:color="auto"/>
            <w:right w:val="none" w:sz="0" w:space="0" w:color="auto"/>
          </w:divBdr>
        </w:div>
      </w:divsChild>
    </w:div>
    <w:div w:id="890308663">
      <w:bodyDiv w:val="1"/>
      <w:marLeft w:val="0"/>
      <w:marRight w:val="0"/>
      <w:marTop w:val="0"/>
      <w:marBottom w:val="0"/>
      <w:divBdr>
        <w:top w:val="none" w:sz="0" w:space="0" w:color="auto"/>
        <w:left w:val="none" w:sz="0" w:space="0" w:color="auto"/>
        <w:bottom w:val="none" w:sz="0" w:space="0" w:color="auto"/>
        <w:right w:val="none" w:sz="0" w:space="0" w:color="auto"/>
      </w:divBdr>
      <w:divsChild>
        <w:div w:id="1278948454">
          <w:marLeft w:val="0"/>
          <w:marRight w:val="0"/>
          <w:marTop w:val="0"/>
          <w:marBottom w:val="0"/>
          <w:divBdr>
            <w:top w:val="none" w:sz="0" w:space="0" w:color="auto"/>
            <w:left w:val="none" w:sz="0" w:space="0" w:color="auto"/>
            <w:bottom w:val="none" w:sz="0" w:space="0" w:color="auto"/>
            <w:right w:val="none" w:sz="0" w:space="0" w:color="auto"/>
          </w:divBdr>
        </w:div>
      </w:divsChild>
    </w:div>
    <w:div w:id="901600053">
      <w:bodyDiv w:val="1"/>
      <w:marLeft w:val="0"/>
      <w:marRight w:val="0"/>
      <w:marTop w:val="0"/>
      <w:marBottom w:val="0"/>
      <w:divBdr>
        <w:top w:val="none" w:sz="0" w:space="0" w:color="auto"/>
        <w:left w:val="none" w:sz="0" w:space="0" w:color="auto"/>
        <w:bottom w:val="none" w:sz="0" w:space="0" w:color="auto"/>
        <w:right w:val="none" w:sz="0" w:space="0" w:color="auto"/>
      </w:divBdr>
    </w:div>
    <w:div w:id="908853982">
      <w:bodyDiv w:val="1"/>
      <w:marLeft w:val="0"/>
      <w:marRight w:val="0"/>
      <w:marTop w:val="0"/>
      <w:marBottom w:val="0"/>
      <w:divBdr>
        <w:top w:val="none" w:sz="0" w:space="0" w:color="auto"/>
        <w:left w:val="none" w:sz="0" w:space="0" w:color="auto"/>
        <w:bottom w:val="none" w:sz="0" w:space="0" w:color="auto"/>
        <w:right w:val="none" w:sz="0" w:space="0" w:color="auto"/>
      </w:divBdr>
    </w:div>
    <w:div w:id="923998712">
      <w:bodyDiv w:val="1"/>
      <w:marLeft w:val="0"/>
      <w:marRight w:val="0"/>
      <w:marTop w:val="0"/>
      <w:marBottom w:val="0"/>
      <w:divBdr>
        <w:top w:val="none" w:sz="0" w:space="0" w:color="auto"/>
        <w:left w:val="none" w:sz="0" w:space="0" w:color="auto"/>
        <w:bottom w:val="none" w:sz="0" w:space="0" w:color="auto"/>
        <w:right w:val="none" w:sz="0" w:space="0" w:color="auto"/>
      </w:divBdr>
      <w:divsChild>
        <w:div w:id="952597464">
          <w:marLeft w:val="0"/>
          <w:marRight w:val="0"/>
          <w:marTop w:val="0"/>
          <w:marBottom w:val="0"/>
          <w:divBdr>
            <w:top w:val="none" w:sz="0" w:space="0" w:color="auto"/>
            <w:left w:val="none" w:sz="0" w:space="0" w:color="auto"/>
            <w:bottom w:val="none" w:sz="0" w:space="0" w:color="auto"/>
            <w:right w:val="none" w:sz="0" w:space="0" w:color="auto"/>
          </w:divBdr>
        </w:div>
      </w:divsChild>
    </w:div>
    <w:div w:id="993342260">
      <w:bodyDiv w:val="1"/>
      <w:marLeft w:val="0"/>
      <w:marRight w:val="0"/>
      <w:marTop w:val="0"/>
      <w:marBottom w:val="0"/>
      <w:divBdr>
        <w:top w:val="none" w:sz="0" w:space="0" w:color="auto"/>
        <w:left w:val="none" w:sz="0" w:space="0" w:color="auto"/>
        <w:bottom w:val="none" w:sz="0" w:space="0" w:color="auto"/>
        <w:right w:val="none" w:sz="0" w:space="0" w:color="auto"/>
      </w:divBdr>
    </w:div>
    <w:div w:id="999117845">
      <w:bodyDiv w:val="1"/>
      <w:marLeft w:val="0"/>
      <w:marRight w:val="0"/>
      <w:marTop w:val="0"/>
      <w:marBottom w:val="0"/>
      <w:divBdr>
        <w:top w:val="none" w:sz="0" w:space="0" w:color="auto"/>
        <w:left w:val="none" w:sz="0" w:space="0" w:color="auto"/>
        <w:bottom w:val="none" w:sz="0" w:space="0" w:color="auto"/>
        <w:right w:val="none" w:sz="0" w:space="0" w:color="auto"/>
      </w:divBdr>
    </w:div>
    <w:div w:id="1008827139">
      <w:bodyDiv w:val="1"/>
      <w:marLeft w:val="0"/>
      <w:marRight w:val="0"/>
      <w:marTop w:val="0"/>
      <w:marBottom w:val="0"/>
      <w:divBdr>
        <w:top w:val="none" w:sz="0" w:space="0" w:color="auto"/>
        <w:left w:val="none" w:sz="0" w:space="0" w:color="auto"/>
        <w:bottom w:val="none" w:sz="0" w:space="0" w:color="auto"/>
        <w:right w:val="none" w:sz="0" w:space="0" w:color="auto"/>
      </w:divBdr>
      <w:divsChild>
        <w:div w:id="1415321249">
          <w:marLeft w:val="0"/>
          <w:marRight w:val="0"/>
          <w:marTop w:val="0"/>
          <w:marBottom w:val="0"/>
          <w:divBdr>
            <w:top w:val="none" w:sz="0" w:space="0" w:color="auto"/>
            <w:left w:val="none" w:sz="0" w:space="0" w:color="auto"/>
            <w:bottom w:val="none" w:sz="0" w:space="0" w:color="auto"/>
            <w:right w:val="none" w:sz="0" w:space="0" w:color="auto"/>
          </w:divBdr>
        </w:div>
      </w:divsChild>
    </w:div>
    <w:div w:id="1010524164">
      <w:bodyDiv w:val="1"/>
      <w:marLeft w:val="0"/>
      <w:marRight w:val="0"/>
      <w:marTop w:val="0"/>
      <w:marBottom w:val="0"/>
      <w:divBdr>
        <w:top w:val="none" w:sz="0" w:space="0" w:color="auto"/>
        <w:left w:val="none" w:sz="0" w:space="0" w:color="auto"/>
        <w:bottom w:val="none" w:sz="0" w:space="0" w:color="auto"/>
        <w:right w:val="none" w:sz="0" w:space="0" w:color="auto"/>
      </w:divBdr>
    </w:div>
    <w:div w:id="1037319069">
      <w:bodyDiv w:val="1"/>
      <w:marLeft w:val="0"/>
      <w:marRight w:val="0"/>
      <w:marTop w:val="0"/>
      <w:marBottom w:val="0"/>
      <w:divBdr>
        <w:top w:val="none" w:sz="0" w:space="0" w:color="auto"/>
        <w:left w:val="none" w:sz="0" w:space="0" w:color="auto"/>
        <w:bottom w:val="none" w:sz="0" w:space="0" w:color="auto"/>
        <w:right w:val="none" w:sz="0" w:space="0" w:color="auto"/>
      </w:divBdr>
    </w:div>
    <w:div w:id="1044523682">
      <w:bodyDiv w:val="1"/>
      <w:marLeft w:val="0"/>
      <w:marRight w:val="0"/>
      <w:marTop w:val="0"/>
      <w:marBottom w:val="0"/>
      <w:divBdr>
        <w:top w:val="none" w:sz="0" w:space="0" w:color="auto"/>
        <w:left w:val="none" w:sz="0" w:space="0" w:color="auto"/>
        <w:bottom w:val="none" w:sz="0" w:space="0" w:color="auto"/>
        <w:right w:val="none" w:sz="0" w:space="0" w:color="auto"/>
      </w:divBdr>
    </w:div>
    <w:div w:id="1051072385">
      <w:bodyDiv w:val="1"/>
      <w:marLeft w:val="0"/>
      <w:marRight w:val="0"/>
      <w:marTop w:val="0"/>
      <w:marBottom w:val="0"/>
      <w:divBdr>
        <w:top w:val="none" w:sz="0" w:space="0" w:color="auto"/>
        <w:left w:val="none" w:sz="0" w:space="0" w:color="auto"/>
        <w:bottom w:val="none" w:sz="0" w:space="0" w:color="auto"/>
        <w:right w:val="none" w:sz="0" w:space="0" w:color="auto"/>
      </w:divBdr>
      <w:divsChild>
        <w:div w:id="403071848">
          <w:marLeft w:val="0"/>
          <w:marRight w:val="0"/>
          <w:marTop w:val="0"/>
          <w:marBottom w:val="0"/>
          <w:divBdr>
            <w:top w:val="none" w:sz="0" w:space="0" w:color="auto"/>
            <w:left w:val="none" w:sz="0" w:space="0" w:color="auto"/>
            <w:bottom w:val="none" w:sz="0" w:space="0" w:color="auto"/>
            <w:right w:val="none" w:sz="0" w:space="0" w:color="auto"/>
          </w:divBdr>
        </w:div>
      </w:divsChild>
    </w:div>
    <w:div w:id="1080448681">
      <w:bodyDiv w:val="1"/>
      <w:marLeft w:val="0"/>
      <w:marRight w:val="0"/>
      <w:marTop w:val="0"/>
      <w:marBottom w:val="0"/>
      <w:divBdr>
        <w:top w:val="none" w:sz="0" w:space="0" w:color="auto"/>
        <w:left w:val="none" w:sz="0" w:space="0" w:color="auto"/>
        <w:bottom w:val="none" w:sz="0" w:space="0" w:color="auto"/>
        <w:right w:val="none" w:sz="0" w:space="0" w:color="auto"/>
      </w:divBdr>
    </w:div>
    <w:div w:id="1087531003">
      <w:bodyDiv w:val="1"/>
      <w:marLeft w:val="0"/>
      <w:marRight w:val="0"/>
      <w:marTop w:val="0"/>
      <w:marBottom w:val="0"/>
      <w:divBdr>
        <w:top w:val="none" w:sz="0" w:space="0" w:color="auto"/>
        <w:left w:val="none" w:sz="0" w:space="0" w:color="auto"/>
        <w:bottom w:val="none" w:sz="0" w:space="0" w:color="auto"/>
        <w:right w:val="none" w:sz="0" w:space="0" w:color="auto"/>
      </w:divBdr>
    </w:div>
    <w:div w:id="1110667894">
      <w:bodyDiv w:val="1"/>
      <w:marLeft w:val="0"/>
      <w:marRight w:val="0"/>
      <w:marTop w:val="0"/>
      <w:marBottom w:val="0"/>
      <w:divBdr>
        <w:top w:val="none" w:sz="0" w:space="0" w:color="auto"/>
        <w:left w:val="none" w:sz="0" w:space="0" w:color="auto"/>
        <w:bottom w:val="none" w:sz="0" w:space="0" w:color="auto"/>
        <w:right w:val="none" w:sz="0" w:space="0" w:color="auto"/>
      </w:divBdr>
    </w:div>
    <w:div w:id="1135873371">
      <w:bodyDiv w:val="1"/>
      <w:marLeft w:val="0"/>
      <w:marRight w:val="0"/>
      <w:marTop w:val="0"/>
      <w:marBottom w:val="0"/>
      <w:divBdr>
        <w:top w:val="none" w:sz="0" w:space="0" w:color="auto"/>
        <w:left w:val="none" w:sz="0" w:space="0" w:color="auto"/>
        <w:bottom w:val="none" w:sz="0" w:space="0" w:color="auto"/>
        <w:right w:val="none" w:sz="0" w:space="0" w:color="auto"/>
      </w:divBdr>
      <w:divsChild>
        <w:div w:id="824933950">
          <w:marLeft w:val="0"/>
          <w:marRight w:val="0"/>
          <w:marTop w:val="0"/>
          <w:marBottom w:val="0"/>
          <w:divBdr>
            <w:top w:val="none" w:sz="0" w:space="0" w:color="auto"/>
            <w:left w:val="none" w:sz="0" w:space="0" w:color="auto"/>
            <w:bottom w:val="none" w:sz="0" w:space="0" w:color="auto"/>
            <w:right w:val="none" w:sz="0" w:space="0" w:color="auto"/>
          </w:divBdr>
        </w:div>
      </w:divsChild>
    </w:div>
    <w:div w:id="1146050877">
      <w:bodyDiv w:val="1"/>
      <w:marLeft w:val="0"/>
      <w:marRight w:val="0"/>
      <w:marTop w:val="0"/>
      <w:marBottom w:val="0"/>
      <w:divBdr>
        <w:top w:val="none" w:sz="0" w:space="0" w:color="auto"/>
        <w:left w:val="none" w:sz="0" w:space="0" w:color="auto"/>
        <w:bottom w:val="none" w:sz="0" w:space="0" w:color="auto"/>
        <w:right w:val="none" w:sz="0" w:space="0" w:color="auto"/>
      </w:divBdr>
      <w:divsChild>
        <w:div w:id="106514078">
          <w:marLeft w:val="0"/>
          <w:marRight w:val="0"/>
          <w:marTop w:val="0"/>
          <w:marBottom w:val="0"/>
          <w:divBdr>
            <w:top w:val="none" w:sz="0" w:space="0" w:color="auto"/>
            <w:left w:val="none" w:sz="0" w:space="0" w:color="auto"/>
            <w:bottom w:val="none" w:sz="0" w:space="0" w:color="auto"/>
            <w:right w:val="none" w:sz="0" w:space="0" w:color="auto"/>
          </w:divBdr>
        </w:div>
      </w:divsChild>
    </w:div>
    <w:div w:id="1148399429">
      <w:bodyDiv w:val="1"/>
      <w:marLeft w:val="0"/>
      <w:marRight w:val="0"/>
      <w:marTop w:val="0"/>
      <w:marBottom w:val="0"/>
      <w:divBdr>
        <w:top w:val="none" w:sz="0" w:space="0" w:color="auto"/>
        <w:left w:val="none" w:sz="0" w:space="0" w:color="auto"/>
        <w:bottom w:val="none" w:sz="0" w:space="0" w:color="auto"/>
        <w:right w:val="none" w:sz="0" w:space="0" w:color="auto"/>
      </w:divBdr>
      <w:divsChild>
        <w:div w:id="1871066704">
          <w:marLeft w:val="0"/>
          <w:marRight w:val="0"/>
          <w:marTop w:val="0"/>
          <w:marBottom w:val="0"/>
          <w:divBdr>
            <w:top w:val="none" w:sz="0" w:space="0" w:color="auto"/>
            <w:left w:val="none" w:sz="0" w:space="0" w:color="auto"/>
            <w:bottom w:val="none" w:sz="0" w:space="0" w:color="auto"/>
            <w:right w:val="none" w:sz="0" w:space="0" w:color="auto"/>
          </w:divBdr>
        </w:div>
      </w:divsChild>
    </w:div>
    <w:div w:id="1159543687">
      <w:bodyDiv w:val="1"/>
      <w:marLeft w:val="0"/>
      <w:marRight w:val="0"/>
      <w:marTop w:val="0"/>
      <w:marBottom w:val="0"/>
      <w:divBdr>
        <w:top w:val="none" w:sz="0" w:space="0" w:color="auto"/>
        <w:left w:val="none" w:sz="0" w:space="0" w:color="auto"/>
        <w:bottom w:val="none" w:sz="0" w:space="0" w:color="auto"/>
        <w:right w:val="none" w:sz="0" w:space="0" w:color="auto"/>
      </w:divBdr>
    </w:div>
    <w:div w:id="1175536426">
      <w:bodyDiv w:val="1"/>
      <w:marLeft w:val="0"/>
      <w:marRight w:val="0"/>
      <w:marTop w:val="0"/>
      <w:marBottom w:val="0"/>
      <w:divBdr>
        <w:top w:val="none" w:sz="0" w:space="0" w:color="auto"/>
        <w:left w:val="none" w:sz="0" w:space="0" w:color="auto"/>
        <w:bottom w:val="none" w:sz="0" w:space="0" w:color="auto"/>
        <w:right w:val="none" w:sz="0" w:space="0" w:color="auto"/>
      </w:divBdr>
      <w:divsChild>
        <w:div w:id="1745452162">
          <w:marLeft w:val="0"/>
          <w:marRight w:val="0"/>
          <w:marTop w:val="0"/>
          <w:marBottom w:val="0"/>
          <w:divBdr>
            <w:top w:val="none" w:sz="0" w:space="0" w:color="auto"/>
            <w:left w:val="none" w:sz="0" w:space="0" w:color="auto"/>
            <w:bottom w:val="none" w:sz="0" w:space="0" w:color="auto"/>
            <w:right w:val="none" w:sz="0" w:space="0" w:color="auto"/>
          </w:divBdr>
        </w:div>
      </w:divsChild>
    </w:div>
    <w:div w:id="1242105009">
      <w:bodyDiv w:val="1"/>
      <w:marLeft w:val="0"/>
      <w:marRight w:val="0"/>
      <w:marTop w:val="0"/>
      <w:marBottom w:val="0"/>
      <w:divBdr>
        <w:top w:val="none" w:sz="0" w:space="0" w:color="auto"/>
        <w:left w:val="none" w:sz="0" w:space="0" w:color="auto"/>
        <w:bottom w:val="none" w:sz="0" w:space="0" w:color="auto"/>
        <w:right w:val="none" w:sz="0" w:space="0" w:color="auto"/>
      </w:divBdr>
    </w:div>
    <w:div w:id="1246843277">
      <w:bodyDiv w:val="1"/>
      <w:marLeft w:val="0"/>
      <w:marRight w:val="0"/>
      <w:marTop w:val="0"/>
      <w:marBottom w:val="0"/>
      <w:divBdr>
        <w:top w:val="none" w:sz="0" w:space="0" w:color="auto"/>
        <w:left w:val="none" w:sz="0" w:space="0" w:color="auto"/>
        <w:bottom w:val="none" w:sz="0" w:space="0" w:color="auto"/>
        <w:right w:val="none" w:sz="0" w:space="0" w:color="auto"/>
      </w:divBdr>
    </w:div>
    <w:div w:id="1281763234">
      <w:bodyDiv w:val="1"/>
      <w:marLeft w:val="0"/>
      <w:marRight w:val="0"/>
      <w:marTop w:val="0"/>
      <w:marBottom w:val="0"/>
      <w:divBdr>
        <w:top w:val="none" w:sz="0" w:space="0" w:color="auto"/>
        <w:left w:val="none" w:sz="0" w:space="0" w:color="auto"/>
        <w:bottom w:val="none" w:sz="0" w:space="0" w:color="auto"/>
        <w:right w:val="none" w:sz="0" w:space="0" w:color="auto"/>
      </w:divBdr>
    </w:div>
    <w:div w:id="1332023845">
      <w:bodyDiv w:val="1"/>
      <w:marLeft w:val="0"/>
      <w:marRight w:val="0"/>
      <w:marTop w:val="0"/>
      <w:marBottom w:val="0"/>
      <w:divBdr>
        <w:top w:val="none" w:sz="0" w:space="0" w:color="auto"/>
        <w:left w:val="none" w:sz="0" w:space="0" w:color="auto"/>
        <w:bottom w:val="none" w:sz="0" w:space="0" w:color="auto"/>
        <w:right w:val="none" w:sz="0" w:space="0" w:color="auto"/>
      </w:divBdr>
      <w:divsChild>
        <w:div w:id="1025985970">
          <w:marLeft w:val="0"/>
          <w:marRight w:val="0"/>
          <w:marTop w:val="0"/>
          <w:marBottom w:val="0"/>
          <w:divBdr>
            <w:top w:val="none" w:sz="0" w:space="0" w:color="auto"/>
            <w:left w:val="none" w:sz="0" w:space="0" w:color="auto"/>
            <w:bottom w:val="none" w:sz="0" w:space="0" w:color="auto"/>
            <w:right w:val="none" w:sz="0" w:space="0" w:color="auto"/>
          </w:divBdr>
        </w:div>
      </w:divsChild>
    </w:div>
    <w:div w:id="1341003135">
      <w:bodyDiv w:val="1"/>
      <w:marLeft w:val="0"/>
      <w:marRight w:val="0"/>
      <w:marTop w:val="0"/>
      <w:marBottom w:val="0"/>
      <w:divBdr>
        <w:top w:val="none" w:sz="0" w:space="0" w:color="auto"/>
        <w:left w:val="none" w:sz="0" w:space="0" w:color="auto"/>
        <w:bottom w:val="none" w:sz="0" w:space="0" w:color="auto"/>
        <w:right w:val="none" w:sz="0" w:space="0" w:color="auto"/>
      </w:divBdr>
    </w:div>
    <w:div w:id="1354530506">
      <w:bodyDiv w:val="1"/>
      <w:marLeft w:val="0"/>
      <w:marRight w:val="0"/>
      <w:marTop w:val="0"/>
      <w:marBottom w:val="0"/>
      <w:divBdr>
        <w:top w:val="none" w:sz="0" w:space="0" w:color="auto"/>
        <w:left w:val="none" w:sz="0" w:space="0" w:color="auto"/>
        <w:bottom w:val="none" w:sz="0" w:space="0" w:color="auto"/>
        <w:right w:val="none" w:sz="0" w:space="0" w:color="auto"/>
      </w:divBdr>
      <w:divsChild>
        <w:div w:id="361903086">
          <w:marLeft w:val="0"/>
          <w:marRight w:val="0"/>
          <w:marTop w:val="0"/>
          <w:marBottom w:val="0"/>
          <w:divBdr>
            <w:top w:val="none" w:sz="0" w:space="0" w:color="auto"/>
            <w:left w:val="none" w:sz="0" w:space="0" w:color="auto"/>
            <w:bottom w:val="none" w:sz="0" w:space="0" w:color="auto"/>
            <w:right w:val="none" w:sz="0" w:space="0" w:color="auto"/>
          </w:divBdr>
        </w:div>
      </w:divsChild>
    </w:div>
    <w:div w:id="1355692608">
      <w:bodyDiv w:val="1"/>
      <w:marLeft w:val="0"/>
      <w:marRight w:val="0"/>
      <w:marTop w:val="0"/>
      <w:marBottom w:val="0"/>
      <w:divBdr>
        <w:top w:val="none" w:sz="0" w:space="0" w:color="auto"/>
        <w:left w:val="none" w:sz="0" w:space="0" w:color="auto"/>
        <w:bottom w:val="none" w:sz="0" w:space="0" w:color="auto"/>
        <w:right w:val="none" w:sz="0" w:space="0" w:color="auto"/>
      </w:divBdr>
    </w:div>
    <w:div w:id="1384400465">
      <w:bodyDiv w:val="1"/>
      <w:marLeft w:val="0"/>
      <w:marRight w:val="0"/>
      <w:marTop w:val="0"/>
      <w:marBottom w:val="0"/>
      <w:divBdr>
        <w:top w:val="none" w:sz="0" w:space="0" w:color="auto"/>
        <w:left w:val="none" w:sz="0" w:space="0" w:color="auto"/>
        <w:bottom w:val="none" w:sz="0" w:space="0" w:color="auto"/>
        <w:right w:val="none" w:sz="0" w:space="0" w:color="auto"/>
      </w:divBdr>
    </w:div>
    <w:div w:id="1400595454">
      <w:bodyDiv w:val="1"/>
      <w:marLeft w:val="0"/>
      <w:marRight w:val="0"/>
      <w:marTop w:val="0"/>
      <w:marBottom w:val="0"/>
      <w:divBdr>
        <w:top w:val="none" w:sz="0" w:space="0" w:color="auto"/>
        <w:left w:val="none" w:sz="0" w:space="0" w:color="auto"/>
        <w:bottom w:val="none" w:sz="0" w:space="0" w:color="auto"/>
        <w:right w:val="none" w:sz="0" w:space="0" w:color="auto"/>
      </w:divBdr>
      <w:divsChild>
        <w:div w:id="1466854083">
          <w:marLeft w:val="0"/>
          <w:marRight w:val="0"/>
          <w:marTop w:val="0"/>
          <w:marBottom w:val="0"/>
          <w:divBdr>
            <w:top w:val="none" w:sz="0" w:space="0" w:color="auto"/>
            <w:left w:val="none" w:sz="0" w:space="0" w:color="auto"/>
            <w:bottom w:val="none" w:sz="0" w:space="0" w:color="auto"/>
            <w:right w:val="none" w:sz="0" w:space="0" w:color="auto"/>
          </w:divBdr>
        </w:div>
      </w:divsChild>
    </w:div>
    <w:div w:id="1426461871">
      <w:bodyDiv w:val="1"/>
      <w:marLeft w:val="0"/>
      <w:marRight w:val="0"/>
      <w:marTop w:val="0"/>
      <w:marBottom w:val="0"/>
      <w:divBdr>
        <w:top w:val="none" w:sz="0" w:space="0" w:color="auto"/>
        <w:left w:val="none" w:sz="0" w:space="0" w:color="auto"/>
        <w:bottom w:val="none" w:sz="0" w:space="0" w:color="auto"/>
        <w:right w:val="none" w:sz="0" w:space="0" w:color="auto"/>
      </w:divBdr>
    </w:div>
    <w:div w:id="1428962737">
      <w:bodyDiv w:val="1"/>
      <w:marLeft w:val="0"/>
      <w:marRight w:val="0"/>
      <w:marTop w:val="0"/>
      <w:marBottom w:val="0"/>
      <w:divBdr>
        <w:top w:val="none" w:sz="0" w:space="0" w:color="auto"/>
        <w:left w:val="none" w:sz="0" w:space="0" w:color="auto"/>
        <w:bottom w:val="none" w:sz="0" w:space="0" w:color="auto"/>
        <w:right w:val="none" w:sz="0" w:space="0" w:color="auto"/>
      </w:divBdr>
    </w:div>
    <w:div w:id="1447191074">
      <w:bodyDiv w:val="1"/>
      <w:marLeft w:val="0"/>
      <w:marRight w:val="0"/>
      <w:marTop w:val="0"/>
      <w:marBottom w:val="0"/>
      <w:divBdr>
        <w:top w:val="none" w:sz="0" w:space="0" w:color="auto"/>
        <w:left w:val="none" w:sz="0" w:space="0" w:color="auto"/>
        <w:bottom w:val="none" w:sz="0" w:space="0" w:color="auto"/>
        <w:right w:val="none" w:sz="0" w:space="0" w:color="auto"/>
      </w:divBdr>
      <w:divsChild>
        <w:div w:id="1878935045">
          <w:marLeft w:val="0"/>
          <w:marRight w:val="0"/>
          <w:marTop w:val="0"/>
          <w:marBottom w:val="0"/>
          <w:divBdr>
            <w:top w:val="none" w:sz="0" w:space="0" w:color="auto"/>
            <w:left w:val="none" w:sz="0" w:space="0" w:color="auto"/>
            <w:bottom w:val="none" w:sz="0" w:space="0" w:color="auto"/>
            <w:right w:val="none" w:sz="0" w:space="0" w:color="auto"/>
          </w:divBdr>
        </w:div>
      </w:divsChild>
    </w:div>
    <w:div w:id="1474641072">
      <w:bodyDiv w:val="1"/>
      <w:marLeft w:val="0"/>
      <w:marRight w:val="0"/>
      <w:marTop w:val="0"/>
      <w:marBottom w:val="0"/>
      <w:divBdr>
        <w:top w:val="none" w:sz="0" w:space="0" w:color="auto"/>
        <w:left w:val="none" w:sz="0" w:space="0" w:color="auto"/>
        <w:bottom w:val="none" w:sz="0" w:space="0" w:color="auto"/>
        <w:right w:val="none" w:sz="0" w:space="0" w:color="auto"/>
      </w:divBdr>
    </w:div>
    <w:div w:id="1492480575">
      <w:bodyDiv w:val="1"/>
      <w:marLeft w:val="0"/>
      <w:marRight w:val="0"/>
      <w:marTop w:val="0"/>
      <w:marBottom w:val="0"/>
      <w:divBdr>
        <w:top w:val="none" w:sz="0" w:space="0" w:color="auto"/>
        <w:left w:val="none" w:sz="0" w:space="0" w:color="auto"/>
        <w:bottom w:val="none" w:sz="0" w:space="0" w:color="auto"/>
        <w:right w:val="none" w:sz="0" w:space="0" w:color="auto"/>
      </w:divBdr>
    </w:div>
    <w:div w:id="1584411478">
      <w:bodyDiv w:val="1"/>
      <w:marLeft w:val="0"/>
      <w:marRight w:val="0"/>
      <w:marTop w:val="0"/>
      <w:marBottom w:val="0"/>
      <w:divBdr>
        <w:top w:val="none" w:sz="0" w:space="0" w:color="auto"/>
        <w:left w:val="none" w:sz="0" w:space="0" w:color="auto"/>
        <w:bottom w:val="none" w:sz="0" w:space="0" w:color="auto"/>
        <w:right w:val="none" w:sz="0" w:space="0" w:color="auto"/>
      </w:divBdr>
      <w:divsChild>
        <w:div w:id="965356212">
          <w:marLeft w:val="0"/>
          <w:marRight w:val="0"/>
          <w:marTop w:val="0"/>
          <w:marBottom w:val="0"/>
          <w:divBdr>
            <w:top w:val="none" w:sz="0" w:space="0" w:color="auto"/>
            <w:left w:val="none" w:sz="0" w:space="0" w:color="auto"/>
            <w:bottom w:val="none" w:sz="0" w:space="0" w:color="auto"/>
            <w:right w:val="none" w:sz="0" w:space="0" w:color="auto"/>
          </w:divBdr>
        </w:div>
      </w:divsChild>
    </w:div>
    <w:div w:id="1590968527">
      <w:bodyDiv w:val="1"/>
      <w:marLeft w:val="0"/>
      <w:marRight w:val="0"/>
      <w:marTop w:val="0"/>
      <w:marBottom w:val="0"/>
      <w:divBdr>
        <w:top w:val="none" w:sz="0" w:space="0" w:color="auto"/>
        <w:left w:val="none" w:sz="0" w:space="0" w:color="auto"/>
        <w:bottom w:val="none" w:sz="0" w:space="0" w:color="auto"/>
        <w:right w:val="none" w:sz="0" w:space="0" w:color="auto"/>
      </w:divBdr>
    </w:div>
    <w:div w:id="1592927248">
      <w:bodyDiv w:val="1"/>
      <w:marLeft w:val="0"/>
      <w:marRight w:val="0"/>
      <w:marTop w:val="0"/>
      <w:marBottom w:val="0"/>
      <w:divBdr>
        <w:top w:val="none" w:sz="0" w:space="0" w:color="auto"/>
        <w:left w:val="none" w:sz="0" w:space="0" w:color="auto"/>
        <w:bottom w:val="none" w:sz="0" w:space="0" w:color="auto"/>
        <w:right w:val="none" w:sz="0" w:space="0" w:color="auto"/>
      </w:divBdr>
    </w:div>
    <w:div w:id="1641307054">
      <w:bodyDiv w:val="1"/>
      <w:marLeft w:val="0"/>
      <w:marRight w:val="0"/>
      <w:marTop w:val="0"/>
      <w:marBottom w:val="0"/>
      <w:divBdr>
        <w:top w:val="none" w:sz="0" w:space="0" w:color="auto"/>
        <w:left w:val="none" w:sz="0" w:space="0" w:color="auto"/>
        <w:bottom w:val="none" w:sz="0" w:space="0" w:color="auto"/>
        <w:right w:val="none" w:sz="0" w:space="0" w:color="auto"/>
      </w:divBdr>
      <w:divsChild>
        <w:div w:id="2078242333">
          <w:marLeft w:val="0"/>
          <w:marRight w:val="0"/>
          <w:marTop w:val="0"/>
          <w:marBottom w:val="0"/>
          <w:divBdr>
            <w:top w:val="none" w:sz="0" w:space="0" w:color="auto"/>
            <w:left w:val="none" w:sz="0" w:space="0" w:color="auto"/>
            <w:bottom w:val="none" w:sz="0" w:space="0" w:color="auto"/>
            <w:right w:val="none" w:sz="0" w:space="0" w:color="auto"/>
          </w:divBdr>
        </w:div>
      </w:divsChild>
    </w:div>
    <w:div w:id="1659381233">
      <w:bodyDiv w:val="1"/>
      <w:marLeft w:val="0"/>
      <w:marRight w:val="0"/>
      <w:marTop w:val="0"/>
      <w:marBottom w:val="0"/>
      <w:divBdr>
        <w:top w:val="none" w:sz="0" w:space="0" w:color="auto"/>
        <w:left w:val="none" w:sz="0" w:space="0" w:color="auto"/>
        <w:bottom w:val="none" w:sz="0" w:space="0" w:color="auto"/>
        <w:right w:val="none" w:sz="0" w:space="0" w:color="auto"/>
      </w:divBdr>
    </w:div>
    <w:div w:id="1689990671">
      <w:bodyDiv w:val="1"/>
      <w:marLeft w:val="0"/>
      <w:marRight w:val="0"/>
      <w:marTop w:val="0"/>
      <w:marBottom w:val="0"/>
      <w:divBdr>
        <w:top w:val="none" w:sz="0" w:space="0" w:color="auto"/>
        <w:left w:val="none" w:sz="0" w:space="0" w:color="auto"/>
        <w:bottom w:val="none" w:sz="0" w:space="0" w:color="auto"/>
        <w:right w:val="none" w:sz="0" w:space="0" w:color="auto"/>
      </w:divBdr>
      <w:divsChild>
        <w:div w:id="502160656">
          <w:marLeft w:val="0"/>
          <w:marRight w:val="0"/>
          <w:marTop w:val="0"/>
          <w:marBottom w:val="0"/>
          <w:divBdr>
            <w:top w:val="none" w:sz="0" w:space="0" w:color="auto"/>
            <w:left w:val="none" w:sz="0" w:space="0" w:color="auto"/>
            <w:bottom w:val="none" w:sz="0" w:space="0" w:color="auto"/>
            <w:right w:val="none" w:sz="0" w:space="0" w:color="auto"/>
          </w:divBdr>
        </w:div>
      </w:divsChild>
    </w:div>
    <w:div w:id="1699549310">
      <w:bodyDiv w:val="1"/>
      <w:marLeft w:val="0"/>
      <w:marRight w:val="0"/>
      <w:marTop w:val="0"/>
      <w:marBottom w:val="0"/>
      <w:divBdr>
        <w:top w:val="none" w:sz="0" w:space="0" w:color="auto"/>
        <w:left w:val="none" w:sz="0" w:space="0" w:color="auto"/>
        <w:bottom w:val="none" w:sz="0" w:space="0" w:color="auto"/>
        <w:right w:val="none" w:sz="0" w:space="0" w:color="auto"/>
      </w:divBdr>
    </w:div>
    <w:div w:id="1738018159">
      <w:bodyDiv w:val="1"/>
      <w:marLeft w:val="0"/>
      <w:marRight w:val="0"/>
      <w:marTop w:val="0"/>
      <w:marBottom w:val="0"/>
      <w:divBdr>
        <w:top w:val="none" w:sz="0" w:space="0" w:color="auto"/>
        <w:left w:val="none" w:sz="0" w:space="0" w:color="auto"/>
        <w:bottom w:val="none" w:sz="0" w:space="0" w:color="auto"/>
        <w:right w:val="none" w:sz="0" w:space="0" w:color="auto"/>
      </w:divBdr>
      <w:divsChild>
        <w:div w:id="1723944167">
          <w:marLeft w:val="0"/>
          <w:marRight w:val="0"/>
          <w:marTop w:val="0"/>
          <w:marBottom w:val="0"/>
          <w:divBdr>
            <w:top w:val="none" w:sz="0" w:space="0" w:color="auto"/>
            <w:left w:val="none" w:sz="0" w:space="0" w:color="auto"/>
            <w:bottom w:val="none" w:sz="0" w:space="0" w:color="auto"/>
            <w:right w:val="none" w:sz="0" w:space="0" w:color="auto"/>
          </w:divBdr>
        </w:div>
      </w:divsChild>
    </w:div>
    <w:div w:id="1745255772">
      <w:bodyDiv w:val="1"/>
      <w:marLeft w:val="0"/>
      <w:marRight w:val="0"/>
      <w:marTop w:val="0"/>
      <w:marBottom w:val="0"/>
      <w:divBdr>
        <w:top w:val="none" w:sz="0" w:space="0" w:color="auto"/>
        <w:left w:val="none" w:sz="0" w:space="0" w:color="auto"/>
        <w:bottom w:val="none" w:sz="0" w:space="0" w:color="auto"/>
        <w:right w:val="none" w:sz="0" w:space="0" w:color="auto"/>
      </w:divBdr>
    </w:div>
    <w:div w:id="1826386003">
      <w:bodyDiv w:val="1"/>
      <w:marLeft w:val="0"/>
      <w:marRight w:val="0"/>
      <w:marTop w:val="0"/>
      <w:marBottom w:val="0"/>
      <w:divBdr>
        <w:top w:val="none" w:sz="0" w:space="0" w:color="auto"/>
        <w:left w:val="none" w:sz="0" w:space="0" w:color="auto"/>
        <w:bottom w:val="none" w:sz="0" w:space="0" w:color="auto"/>
        <w:right w:val="none" w:sz="0" w:space="0" w:color="auto"/>
      </w:divBdr>
    </w:div>
    <w:div w:id="1839884063">
      <w:bodyDiv w:val="1"/>
      <w:marLeft w:val="0"/>
      <w:marRight w:val="0"/>
      <w:marTop w:val="0"/>
      <w:marBottom w:val="0"/>
      <w:divBdr>
        <w:top w:val="none" w:sz="0" w:space="0" w:color="auto"/>
        <w:left w:val="none" w:sz="0" w:space="0" w:color="auto"/>
        <w:bottom w:val="none" w:sz="0" w:space="0" w:color="auto"/>
        <w:right w:val="none" w:sz="0" w:space="0" w:color="auto"/>
      </w:divBdr>
    </w:div>
    <w:div w:id="1866938796">
      <w:bodyDiv w:val="1"/>
      <w:marLeft w:val="0"/>
      <w:marRight w:val="0"/>
      <w:marTop w:val="0"/>
      <w:marBottom w:val="0"/>
      <w:divBdr>
        <w:top w:val="none" w:sz="0" w:space="0" w:color="auto"/>
        <w:left w:val="none" w:sz="0" w:space="0" w:color="auto"/>
        <w:bottom w:val="none" w:sz="0" w:space="0" w:color="auto"/>
        <w:right w:val="none" w:sz="0" w:space="0" w:color="auto"/>
      </w:divBdr>
      <w:divsChild>
        <w:div w:id="756440373">
          <w:marLeft w:val="0"/>
          <w:marRight w:val="0"/>
          <w:marTop w:val="0"/>
          <w:marBottom w:val="0"/>
          <w:divBdr>
            <w:top w:val="none" w:sz="0" w:space="0" w:color="auto"/>
            <w:left w:val="none" w:sz="0" w:space="0" w:color="auto"/>
            <w:bottom w:val="none" w:sz="0" w:space="0" w:color="auto"/>
            <w:right w:val="none" w:sz="0" w:space="0" w:color="auto"/>
          </w:divBdr>
        </w:div>
      </w:divsChild>
    </w:div>
    <w:div w:id="1867789274">
      <w:bodyDiv w:val="1"/>
      <w:marLeft w:val="0"/>
      <w:marRight w:val="0"/>
      <w:marTop w:val="0"/>
      <w:marBottom w:val="0"/>
      <w:divBdr>
        <w:top w:val="none" w:sz="0" w:space="0" w:color="auto"/>
        <w:left w:val="none" w:sz="0" w:space="0" w:color="auto"/>
        <w:bottom w:val="none" w:sz="0" w:space="0" w:color="auto"/>
        <w:right w:val="none" w:sz="0" w:space="0" w:color="auto"/>
      </w:divBdr>
      <w:divsChild>
        <w:div w:id="2057662094">
          <w:marLeft w:val="0"/>
          <w:marRight w:val="0"/>
          <w:marTop w:val="0"/>
          <w:marBottom w:val="0"/>
          <w:divBdr>
            <w:top w:val="none" w:sz="0" w:space="0" w:color="auto"/>
            <w:left w:val="none" w:sz="0" w:space="0" w:color="auto"/>
            <w:bottom w:val="none" w:sz="0" w:space="0" w:color="auto"/>
            <w:right w:val="none" w:sz="0" w:space="0" w:color="auto"/>
          </w:divBdr>
        </w:div>
      </w:divsChild>
    </w:div>
    <w:div w:id="1872957875">
      <w:bodyDiv w:val="1"/>
      <w:marLeft w:val="0"/>
      <w:marRight w:val="0"/>
      <w:marTop w:val="0"/>
      <w:marBottom w:val="0"/>
      <w:divBdr>
        <w:top w:val="none" w:sz="0" w:space="0" w:color="auto"/>
        <w:left w:val="none" w:sz="0" w:space="0" w:color="auto"/>
        <w:bottom w:val="none" w:sz="0" w:space="0" w:color="auto"/>
        <w:right w:val="none" w:sz="0" w:space="0" w:color="auto"/>
      </w:divBdr>
    </w:div>
    <w:div w:id="1918441221">
      <w:bodyDiv w:val="1"/>
      <w:marLeft w:val="0"/>
      <w:marRight w:val="0"/>
      <w:marTop w:val="0"/>
      <w:marBottom w:val="0"/>
      <w:divBdr>
        <w:top w:val="none" w:sz="0" w:space="0" w:color="auto"/>
        <w:left w:val="none" w:sz="0" w:space="0" w:color="auto"/>
        <w:bottom w:val="none" w:sz="0" w:space="0" w:color="auto"/>
        <w:right w:val="none" w:sz="0" w:space="0" w:color="auto"/>
      </w:divBdr>
    </w:div>
    <w:div w:id="2031446859">
      <w:bodyDiv w:val="1"/>
      <w:marLeft w:val="0"/>
      <w:marRight w:val="0"/>
      <w:marTop w:val="0"/>
      <w:marBottom w:val="0"/>
      <w:divBdr>
        <w:top w:val="none" w:sz="0" w:space="0" w:color="auto"/>
        <w:left w:val="none" w:sz="0" w:space="0" w:color="auto"/>
        <w:bottom w:val="none" w:sz="0" w:space="0" w:color="auto"/>
        <w:right w:val="none" w:sz="0" w:space="0" w:color="auto"/>
      </w:divBdr>
    </w:div>
    <w:div w:id="2106802668">
      <w:bodyDiv w:val="1"/>
      <w:marLeft w:val="0"/>
      <w:marRight w:val="0"/>
      <w:marTop w:val="0"/>
      <w:marBottom w:val="0"/>
      <w:divBdr>
        <w:top w:val="none" w:sz="0" w:space="0" w:color="auto"/>
        <w:left w:val="none" w:sz="0" w:space="0" w:color="auto"/>
        <w:bottom w:val="none" w:sz="0" w:space="0" w:color="auto"/>
        <w:right w:val="none" w:sz="0" w:space="0" w:color="auto"/>
      </w:divBdr>
      <w:divsChild>
        <w:div w:id="1384407450">
          <w:marLeft w:val="0"/>
          <w:marRight w:val="0"/>
          <w:marTop w:val="0"/>
          <w:marBottom w:val="0"/>
          <w:divBdr>
            <w:top w:val="none" w:sz="0" w:space="0" w:color="auto"/>
            <w:left w:val="none" w:sz="0" w:space="0" w:color="auto"/>
            <w:bottom w:val="none" w:sz="0" w:space="0" w:color="auto"/>
            <w:right w:val="none" w:sz="0" w:space="0" w:color="auto"/>
          </w:divBdr>
        </w:div>
      </w:divsChild>
    </w:div>
    <w:div w:id="2130275868">
      <w:bodyDiv w:val="1"/>
      <w:marLeft w:val="0"/>
      <w:marRight w:val="0"/>
      <w:marTop w:val="0"/>
      <w:marBottom w:val="0"/>
      <w:divBdr>
        <w:top w:val="none" w:sz="0" w:space="0" w:color="auto"/>
        <w:left w:val="none" w:sz="0" w:space="0" w:color="auto"/>
        <w:bottom w:val="none" w:sz="0" w:space="0" w:color="auto"/>
        <w:right w:val="none" w:sz="0" w:space="0" w:color="auto"/>
      </w:divBdr>
      <w:divsChild>
        <w:div w:id="836075165">
          <w:marLeft w:val="0"/>
          <w:marRight w:val="0"/>
          <w:marTop w:val="0"/>
          <w:marBottom w:val="0"/>
          <w:divBdr>
            <w:top w:val="none" w:sz="0" w:space="0" w:color="auto"/>
            <w:left w:val="none" w:sz="0" w:space="0" w:color="auto"/>
            <w:bottom w:val="none" w:sz="0" w:space="0" w:color="auto"/>
            <w:right w:val="none" w:sz="0" w:space="0" w:color="auto"/>
          </w:divBdr>
        </w:div>
      </w:divsChild>
    </w:div>
    <w:div w:id="213648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mailto:hewensheng@msqh.com" TargetMode="External"/><Relationship Id="rId10" Type="http://schemas.openxmlformats.org/officeDocument/2006/relationships/header" Target="header1.xm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A12D2-60A7-415C-8506-A0926CB92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2350</TotalTime>
  <Pages>1</Pages>
  <Words>1880</Words>
  <Characters>10719</Characters>
  <Application>Microsoft Office Word</Application>
  <DocSecurity>0</DocSecurity>
  <Lines>89</Lines>
  <Paragraphs>25</Paragraphs>
  <ScaleCrop>false</ScaleCrop>
  <Company>Microsoft</Company>
  <LinksUpToDate>false</LinksUpToDate>
  <CharactersWithSpaces>12574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wuyaozhang</cp:lastModifiedBy>
  <cp:revision>53</cp:revision>
  <cp:lastPrinted>2020-01-06T03:00:00Z</cp:lastPrinted>
  <dcterms:created xsi:type="dcterms:W3CDTF">2020-05-06T09:57:00Z</dcterms:created>
  <dcterms:modified xsi:type="dcterms:W3CDTF">2021-05-06T09:14:00Z</dcterms:modified>
</cp:coreProperties>
</file>