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02D" w:rsidRDefault="00A81407">
      <w:pPr>
        <w:pStyle w:val="a7"/>
      </w:pPr>
      <w:r>
        <w:t>民生期货晨会</w:t>
      </w:r>
      <w:r>
        <w:rPr>
          <w:rFonts w:hint="eastAsia"/>
        </w:rPr>
        <w:t>202001</w:t>
      </w:r>
      <w:r w:rsidR="004B4EEB">
        <w:rPr>
          <w:rFonts w:hint="eastAsia"/>
        </w:rPr>
        <w:t>14</w:t>
      </w:r>
    </w:p>
    <w:p w:rsidR="00E8202D" w:rsidRDefault="00A81407">
      <w:pPr>
        <w:pStyle w:val="ab"/>
        <w:numPr>
          <w:ilvl w:val="0"/>
          <w:numId w:val="1"/>
        </w:numPr>
        <w:ind w:firstLineChars="0"/>
        <w:rPr>
          <w:b/>
          <w:sz w:val="28"/>
        </w:rPr>
      </w:pPr>
      <w:r>
        <w:rPr>
          <w:b/>
          <w:sz w:val="28"/>
        </w:rPr>
        <w:t>隔夜行情回顾</w:t>
      </w:r>
    </w:p>
    <w:p w:rsidR="00E8202D" w:rsidRDefault="00A81407">
      <w:pPr>
        <w:ind w:firstLineChars="800" w:firstLine="2240"/>
        <w:rPr>
          <w:sz w:val="28"/>
        </w:rPr>
      </w:pPr>
      <w:r>
        <w:rPr>
          <w:rFonts w:hint="eastAsia"/>
          <w:sz w:val="28"/>
        </w:rPr>
        <w:t>夜盘跌幅前十</w:t>
      </w:r>
      <w:r>
        <w:rPr>
          <w:rFonts w:hint="eastAsia"/>
          <w:sz w:val="28"/>
        </w:rPr>
        <w:t xml:space="preserve">                                        </w:t>
      </w:r>
      <w:r>
        <w:rPr>
          <w:rFonts w:hint="eastAsia"/>
          <w:sz w:val="28"/>
        </w:rPr>
        <w:t>夜盘涨幅前十</w:t>
      </w:r>
    </w:p>
    <w:p w:rsidR="00E8202D" w:rsidRDefault="00BE3FBA">
      <w:r>
        <w:rPr>
          <w:noProof/>
        </w:rPr>
        <w:drawing>
          <wp:inline distT="0" distB="0" distL="0" distR="0">
            <wp:extent cx="4370070" cy="2697480"/>
            <wp:effectExtent l="1905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370070" cy="2697480"/>
                    </a:xfrm>
                    <a:prstGeom prst="rect">
                      <a:avLst/>
                    </a:prstGeom>
                    <a:noFill/>
                    <a:ln w="9525">
                      <a:noFill/>
                      <a:miter lim="800000"/>
                      <a:headEnd/>
                      <a:tailEnd/>
                    </a:ln>
                  </pic:spPr>
                </pic:pic>
              </a:graphicData>
            </a:graphic>
          </wp:inline>
        </w:drawing>
      </w:r>
      <w:r>
        <w:rPr>
          <w:noProof/>
        </w:rPr>
        <w:drawing>
          <wp:inline distT="0" distB="0" distL="0" distR="0">
            <wp:extent cx="4212863" cy="269748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221113" cy="2702762"/>
                    </a:xfrm>
                    <a:prstGeom prst="rect">
                      <a:avLst/>
                    </a:prstGeom>
                    <a:noFill/>
                    <a:ln w="9525">
                      <a:noFill/>
                      <a:miter lim="800000"/>
                      <a:headEnd/>
                      <a:tailEnd/>
                    </a:ln>
                  </pic:spPr>
                </pic:pic>
              </a:graphicData>
            </a:graphic>
          </wp:inline>
        </w:drawing>
      </w:r>
    </w:p>
    <w:p w:rsidR="00E8202D" w:rsidRDefault="00E8202D"/>
    <w:p w:rsidR="00E8202D" w:rsidRDefault="00A81407">
      <w:pPr>
        <w:pStyle w:val="ab"/>
        <w:numPr>
          <w:ilvl w:val="0"/>
          <w:numId w:val="1"/>
        </w:numPr>
        <w:ind w:firstLineChars="0"/>
        <w:rPr>
          <w:rFonts w:ascii="Microsoft YaHei UI" w:eastAsia="Microsoft YaHei UI" w:hAnsi="Microsoft YaHei UI" w:cs="Microsoft YaHei UI"/>
          <w:color w:val="333333"/>
          <w:spacing w:val="18"/>
          <w:sz w:val="16"/>
          <w:szCs w:val="16"/>
        </w:rPr>
      </w:pPr>
      <w:r>
        <w:rPr>
          <w:rFonts w:hint="eastAsia"/>
          <w:b/>
          <w:sz w:val="28"/>
        </w:rPr>
        <w:t>期市资讯</w:t>
      </w:r>
      <w:r>
        <w:rPr>
          <w:rFonts w:ascii="Microsoft YaHei UI" w:eastAsia="Microsoft YaHei UI" w:hAnsi="Microsoft YaHei UI" w:cs="Microsoft YaHei UI" w:hint="eastAsia"/>
          <w:color w:val="FFFFFF"/>
          <w:spacing w:val="18"/>
          <w:sz w:val="19"/>
          <w:szCs w:val="19"/>
          <w:shd w:val="clear" w:color="auto" w:fill="FFFFFF"/>
        </w:rPr>
        <w:t>水故连锁反应引发市场巨震，化工产品暴涨，千企停限产，九个月后江浙地区化工企业再次发生事故。</w:t>
      </w:r>
    </w:p>
    <w:p w:rsidR="00692EBA" w:rsidRDefault="00692EBA" w:rsidP="00692EBA">
      <w:pPr>
        <w:pStyle w:val="a6"/>
        <w:widowControl/>
        <w:shd w:val="clear" w:color="auto" w:fill="FFFFFF"/>
        <w:spacing w:beforeAutospacing="0" w:afterAutospacing="0" w:line="360" w:lineRule="auto"/>
        <w:jc w:val="both"/>
        <w:rPr>
          <w:rFonts w:ascii="微软雅黑" w:eastAsia="微软雅黑" w:hAnsi="微软雅黑" w:hint="eastAsia"/>
          <w:color w:val="333333"/>
          <w:spacing w:val="7"/>
          <w:sz w:val="17"/>
          <w:szCs w:val="17"/>
          <w:shd w:val="clear" w:color="auto" w:fill="FFFFFF"/>
        </w:rPr>
      </w:pPr>
    </w:p>
    <w:p w:rsidR="00692EBA" w:rsidRPr="00C6595B" w:rsidRDefault="00692EBA" w:rsidP="00692EBA">
      <w:pPr>
        <w:pStyle w:val="a6"/>
        <w:widowControl/>
        <w:shd w:val="clear" w:color="auto" w:fill="FFFFFF"/>
        <w:spacing w:beforeAutospacing="0" w:afterAutospacing="0" w:line="360" w:lineRule="auto"/>
        <w:jc w:val="both"/>
        <w:rPr>
          <w:rFonts w:ascii="宋体" w:eastAsia="宋体" w:hAnsi="宋体" w:cs="宋体" w:hint="eastAsia"/>
          <w:szCs w:val="24"/>
        </w:rPr>
      </w:pPr>
      <w:r>
        <w:rPr>
          <w:rFonts w:ascii="微软雅黑" w:eastAsia="微软雅黑" w:hAnsi="微软雅黑" w:hint="eastAsia"/>
          <w:color w:val="333333"/>
          <w:spacing w:val="7"/>
          <w:sz w:val="17"/>
          <w:szCs w:val="17"/>
          <w:shd w:val="clear" w:color="auto" w:fill="FFFFFF"/>
        </w:rPr>
        <w:lastRenderedPageBreak/>
        <w:t>1、</w:t>
      </w:r>
      <w:r w:rsidRPr="00C6595B">
        <w:rPr>
          <w:rFonts w:ascii="宋体" w:eastAsia="宋体" w:hAnsi="宋体" w:cs="宋体" w:hint="eastAsia"/>
          <w:szCs w:val="24"/>
        </w:rPr>
        <w:t>伊朗现在冬季寒潮来袭，因受到天气降温的影响，伊朗政府为保证民生，天然气供应减少使得甲醇生产装置开工受到影响，伊朗地区生产企业几乎全部受到影响。具体来看，ZPC1#装置和2#装置在2019年12月中下旬停车，现因限气未能重启；KPC66万吨装置运行负荷在8成左右；FPC100万吨装置运行负荷在7成左右；Marjan165万吨装置受到限气的影响，处于低负荷运行状态；Kaveh230万吨装置也维持低负荷运行。</w:t>
      </w:r>
    </w:p>
    <w:p w:rsidR="00692EBA" w:rsidRPr="00C6595B" w:rsidRDefault="00692EBA" w:rsidP="00692EBA">
      <w:pPr>
        <w:pStyle w:val="a6"/>
        <w:widowControl/>
        <w:shd w:val="clear" w:color="auto" w:fill="FFFFFF"/>
        <w:spacing w:beforeAutospacing="0" w:afterAutospacing="0" w:line="360" w:lineRule="auto"/>
        <w:jc w:val="both"/>
        <w:rPr>
          <w:rFonts w:ascii="宋体" w:eastAsia="宋体" w:hAnsi="宋体" w:cs="宋体" w:hint="eastAsia"/>
          <w:szCs w:val="24"/>
        </w:rPr>
      </w:pPr>
      <w:r w:rsidRPr="00C6595B">
        <w:rPr>
          <w:rFonts w:ascii="宋体" w:eastAsia="宋体" w:hAnsi="宋体" w:cs="宋体" w:hint="eastAsia"/>
          <w:szCs w:val="24"/>
        </w:rPr>
        <w:t>2、美国以及东南地区大型装置也停车检修，国外甲醇供应明显收紧。</w:t>
      </w:r>
    </w:p>
    <w:p w:rsidR="00692EBA" w:rsidRPr="00C6595B" w:rsidRDefault="00692EBA" w:rsidP="00692EBA">
      <w:pPr>
        <w:pStyle w:val="a6"/>
        <w:widowControl/>
        <w:shd w:val="clear" w:color="auto" w:fill="FFFFFF"/>
        <w:spacing w:beforeAutospacing="0" w:afterAutospacing="0" w:line="360" w:lineRule="auto"/>
        <w:jc w:val="both"/>
        <w:rPr>
          <w:rFonts w:ascii="宋体" w:eastAsia="宋体" w:hAnsi="宋体" w:cs="宋体" w:hint="eastAsia"/>
          <w:szCs w:val="24"/>
        </w:rPr>
      </w:pPr>
      <w:r w:rsidRPr="00C6595B">
        <w:rPr>
          <w:rFonts w:ascii="宋体" w:eastAsia="宋体" w:hAnsi="宋体" w:cs="宋体" w:hint="eastAsia"/>
          <w:szCs w:val="24"/>
        </w:rPr>
        <w:t>3、国外市场近期表现强势，</w:t>
      </w:r>
      <w:r w:rsidR="00C6595B" w:rsidRPr="00C6595B">
        <w:rPr>
          <w:rFonts w:ascii="宋体" w:eastAsia="宋体" w:hAnsi="宋体" w:cs="宋体" w:hint="eastAsia"/>
          <w:szCs w:val="24"/>
        </w:rPr>
        <w:t>亚洲多数区域库存下降，需求相对稳固，部分船货改港和转口去往亚洲其他区域，</w:t>
      </w:r>
      <w:r w:rsidRPr="00C6595B">
        <w:rPr>
          <w:rFonts w:ascii="宋体" w:eastAsia="宋体" w:hAnsi="宋体" w:cs="宋体" w:hint="eastAsia"/>
          <w:szCs w:val="24"/>
        </w:rPr>
        <w:t>亚洲其他区域甲醇市场全面上行，尤其是东南亚区域暴涨。部分商家多意向从中国转口去东南亚和印度区域填补空缺，中国沿海区域可售保税货物极少，价格推涨。</w:t>
      </w:r>
    </w:p>
    <w:p w:rsidR="00692EBA" w:rsidRPr="00C6595B" w:rsidRDefault="00692EBA" w:rsidP="00692EBA">
      <w:pPr>
        <w:pStyle w:val="a6"/>
        <w:widowControl/>
        <w:shd w:val="clear" w:color="auto" w:fill="FFFFFF"/>
        <w:spacing w:beforeAutospacing="0" w:afterAutospacing="0" w:line="360" w:lineRule="auto"/>
        <w:jc w:val="both"/>
        <w:rPr>
          <w:rFonts w:ascii="宋体" w:eastAsia="宋体" w:hAnsi="宋体" w:cs="宋体" w:hint="eastAsia"/>
          <w:szCs w:val="24"/>
        </w:rPr>
      </w:pPr>
      <w:r w:rsidRPr="00C6595B">
        <w:rPr>
          <w:rFonts w:ascii="宋体" w:eastAsia="宋体" w:hAnsi="宋体" w:cs="宋体" w:hint="eastAsia"/>
          <w:szCs w:val="24"/>
        </w:rPr>
        <w:t>4、货源流向高价区域进行套利，国内到货有所减少。沿海地区甲醇进入缓慢去库存阶段，港口库存继续回落，下滑至86.3万吨，相比缩减3.33万吨，整体可流通货源预估在25.6万吨。据不完全统计，从1月中旬至26日甲醇进口船货到港量在52.27万-53万吨附近。华东部分港口船只拥堵及部分码头封航，进口船货到港以及卸货时间推迟。由于需求端支撑不强，甲醇库存消化较为滞缓。</w:t>
      </w:r>
    </w:p>
    <w:p w:rsidR="000E5B74" w:rsidRPr="00C6595B" w:rsidRDefault="00C6595B" w:rsidP="00692EBA">
      <w:pPr>
        <w:pStyle w:val="a6"/>
        <w:widowControl/>
        <w:shd w:val="clear" w:color="auto" w:fill="FFFFFF"/>
        <w:spacing w:beforeAutospacing="0" w:afterAutospacing="0" w:line="360" w:lineRule="auto"/>
        <w:jc w:val="both"/>
        <w:rPr>
          <w:rFonts w:ascii="宋体" w:eastAsia="宋体" w:hAnsi="宋体" w:cs="宋体" w:hint="eastAsia"/>
          <w:szCs w:val="24"/>
        </w:rPr>
      </w:pPr>
      <w:r w:rsidRPr="00C6595B">
        <w:rPr>
          <w:rFonts w:ascii="宋体" w:eastAsia="宋体" w:hAnsi="宋体" w:cs="宋体" w:hint="eastAsia"/>
          <w:szCs w:val="24"/>
        </w:rPr>
        <w:t>5、</w:t>
      </w:r>
      <w:r w:rsidR="00692EBA" w:rsidRPr="00C6595B">
        <w:rPr>
          <w:rFonts w:ascii="宋体" w:eastAsia="宋体" w:hAnsi="宋体" w:cs="宋体" w:hint="eastAsia"/>
          <w:szCs w:val="24"/>
        </w:rPr>
        <w:t>2019年全球甲醇产能达到15079.1万吨，甲醇生产主要集中在中国、伊朗、美国、沙特等国家。我国甲醇产能在2019年底达到8802万吨，位居全球第一，产能占比为58.37%。其次是伊朗，产能为899.5万吨。美国甲醇产能在全球市场占据第三，合计为760.5万吨。</w:t>
      </w:r>
    </w:p>
    <w:p w:rsidR="00692EBA" w:rsidRPr="00C6595B" w:rsidRDefault="00C6595B" w:rsidP="00692EBA">
      <w:pPr>
        <w:pStyle w:val="a6"/>
        <w:widowControl/>
        <w:shd w:val="clear" w:color="auto" w:fill="FFFFFF"/>
        <w:spacing w:beforeAutospacing="0" w:afterAutospacing="0" w:line="360" w:lineRule="auto"/>
        <w:jc w:val="both"/>
        <w:rPr>
          <w:rFonts w:ascii="宋体" w:eastAsia="宋体" w:hAnsi="宋体" w:cs="宋体" w:hint="eastAsia"/>
          <w:szCs w:val="24"/>
        </w:rPr>
      </w:pPr>
      <w:r w:rsidRPr="00C6595B">
        <w:rPr>
          <w:rFonts w:ascii="宋体" w:eastAsia="宋体" w:hAnsi="宋体" w:cs="宋体" w:hint="eastAsia"/>
          <w:szCs w:val="24"/>
        </w:rPr>
        <w:t>6、</w:t>
      </w:r>
      <w:r w:rsidR="00692EBA" w:rsidRPr="00C6595B">
        <w:rPr>
          <w:rFonts w:ascii="宋体" w:eastAsia="宋体" w:hAnsi="宋体" w:cs="宋体" w:hint="eastAsia"/>
          <w:szCs w:val="24"/>
        </w:rPr>
        <w:t>甲醇进口量从2019年4月份开始持续回升，10月份超过超过100万吨，达到112.05甲醇万吨，创近五年单月进口量峰值。从当月进口货源数量来看，11月份甲醇进口量已经出现回落，比10月份缩减20万吨，12月份进口量预期在100万吨附近。</w:t>
      </w:r>
    </w:p>
    <w:p w:rsidR="00692EBA" w:rsidRPr="00C6595B" w:rsidRDefault="00C6595B" w:rsidP="00692EBA">
      <w:pPr>
        <w:pStyle w:val="a6"/>
        <w:widowControl/>
        <w:shd w:val="clear" w:color="auto" w:fill="FFFFFF"/>
        <w:spacing w:beforeAutospacing="0" w:afterAutospacing="0" w:line="360" w:lineRule="auto"/>
        <w:jc w:val="both"/>
        <w:rPr>
          <w:rFonts w:ascii="宋体" w:eastAsia="宋体" w:hAnsi="宋体" w:cs="宋体" w:hint="eastAsia"/>
          <w:szCs w:val="24"/>
        </w:rPr>
      </w:pPr>
      <w:r w:rsidRPr="00C6595B">
        <w:rPr>
          <w:rFonts w:ascii="宋体" w:eastAsia="宋体" w:hAnsi="宋体" w:cs="宋体" w:hint="eastAsia"/>
          <w:szCs w:val="24"/>
        </w:rPr>
        <w:lastRenderedPageBreak/>
        <w:t>7、</w:t>
      </w:r>
      <w:r w:rsidR="00692EBA" w:rsidRPr="00C6595B">
        <w:rPr>
          <w:rFonts w:ascii="宋体" w:eastAsia="宋体" w:hAnsi="宋体" w:cs="宋体" w:hint="eastAsia"/>
          <w:szCs w:val="24"/>
        </w:rPr>
        <w:t>正值甲醇需求季节性淡季，且春节临近，下游市场需求难以明显提升。传统需求行业甲醛、二甲醚行业开工不足，对甲醇消耗有限。山东、河南地区部分甲醛厂家开工负荷下滑，河北文安地区甲醛厂家已经停产，甲醛厂家利润欠佳，终端接货积极性一般，</w:t>
      </w:r>
      <w:r w:rsidRPr="00C6595B">
        <w:rPr>
          <w:rFonts w:ascii="宋体" w:eastAsia="宋体" w:hAnsi="宋体" w:cs="宋体" w:hint="eastAsia"/>
          <w:szCs w:val="24"/>
        </w:rPr>
        <w:t>，</w:t>
      </w:r>
      <w:r w:rsidR="00692EBA" w:rsidRPr="00C6595B">
        <w:rPr>
          <w:rFonts w:ascii="宋体" w:eastAsia="宋体" w:hAnsi="宋体" w:cs="宋体" w:hint="eastAsia"/>
          <w:szCs w:val="24"/>
        </w:rPr>
        <w:t>二甲醚市场重心上行，下游补货积极，</w:t>
      </w:r>
      <w:r w:rsidRPr="00C6595B">
        <w:rPr>
          <w:rFonts w:ascii="宋体" w:eastAsia="宋体" w:hAnsi="宋体" w:cs="宋体" w:hint="eastAsia"/>
          <w:szCs w:val="24"/>
        </w:rPr>
        <w:t>醋酸行业表现相对较好。</w:t>
      </w:r>
    </w:p>
    <w:p w:rsidR="00692EBA" w:rsidRPr="000E5B74" w:rsidRDefault="00692EBA" w:rsidP="00692EBA">
      <w:pPr>
        <w:pStyle w:val="a6"/>
        <w:widowControl/>
        <w:shd w:val="clear" w:color="auto" w:fill="FFFFFF"/>
        <w:spacing w:beforeAutospacing="0" w:afterAutospacing="0" w:line="360" w:lineRule="auto"/>
        <w:jc w:val="both"/>
        <w:rPr>
          <w:rFonts w:ascii="宋体" w:eastAsia="宋体" w:hAnsi="宋体" w:cs="宋体"/>
          <w:szCs w:val="24"/>
        </w:rPr>
      </w:pPr>
    </w:p>
    <w:p w:rsidR="00C6595B" w:rsidRDefault="00C6595B" w:rsidP="00C6595B">
      <w:pPr>
        <w:widowControl/>
        <w:spacing w:line="360" w:lineRule="auto"/>
        <w:ind w:firstLineChars="150" w:firstLine="360"/>
        <w:jc w:val="left"/>
        <w:rPr>
          <w:rFonts w:ascii="宋体" w:eastAsia="宋体" w:hAnsi="宋体" w:cs="宋体" w:hint="eastAsia"/>
          <w:kern w:val="0"/>
          <w:sz w:val="24"/>
          <w:szCs w:val="24"/>
        </w:rPr>
      </w:pPr>
      <w:r>
        <w:rPr>
          <w:rFonts w:ascii="宋体" w:eastAsia="宋体" w:hAnsi="宋体" w:cs="宋体" w:hint="eastAsia"/>
          <w:kern w:val="0"/>
          <w:sz w:val="24"/>
          <w:szCs w:val="24"/>
        </w:rPr>
        <w:t>1、</w:t>
      </w:r>
      <w:r w:rsidR="000E5B74" w:rsidRPr="00C6595B">
        <w:rPr>
          <w:rFonts w:ascii="宋体" w:eastAsia="宋体" w:hAnsi="宋体" w:cs="宋体" w:hint="eastAsia"/>
          <w:kern w:val="0"/>
          <w:sz w:val="24"/>
          <w:szCs w:val="24"/>
        </w:rPr>
        <w:t>郑商所与玻璃行业协会共同组织调研团前往华中地区进行实地调研，</w:t>
      </w:r>
      <w:r w:rsidR="000E5B74" w:rsidRPr="00C6595B">
        <w:rPr>
          <w:rFonts w:ascii="宋体" w:eastAsia="宋体" w:hAnsi="宋体" w:cs="宋体"/>
          <w:kern w:val="0"/>
          <w:sz w:val="24"/>
          <w:szCs w:val="24"/>
        </w:rPr>
        <w:t>本次华中地区玻璃-纯碱产业链调研对象共5家企业，其中3家湖北地区大型玻璃厂，目前距春节长假仅剩两周，从时间上来看处于玻璃消费淡季，北方地区终端房地产基本停工，下游玻璃深加工企业也陆续停止接单，玻璃原片生产企业即将进入库存持续累积的状态。</w:t>
      </w:r>
    </w:p>
    <w:p w:rsidR="0067394E" w:rsidRPr="0067394E" w:rsidRDefault="0067394E" w:rsidP="0067394E">
      <w:pPr>
        <w:widowControl/>
        <w:spacing w:line="360" w:lineRule="auto"/>
        <w:ind w:firstLine="480"/>
        <w:jc w:val="left"/>
        <w:rPr>
          <w:rFonts w:ascii="宋体" w:eastAsia="宋体" w:hAnsi="宋体" w:cs="宋体"/>
          <w:b/>
          <w:kern w:val="0"/>
          <w:sz w:val="24"/>
          <w:szCs w:val="24"/>
        </w:rPr>
      </w:pPr>
      <w:r>
        <w:rPr>
          <w:rFonts w:ascii="宋体" w:eastAsia="宋体" w:hAnsi="宋体" w:cs="宋体"/>
          <w:b/>
          <w:kern w:val="0"/>
          <w:sz w:val="24"/>
          <w:szCs w:val="24"/>
        </w:rPr>
        <w:t>2、</w:t>
      </w:r>
      <w:r w:rsidRPr="0067394E">
        <w:rPr>
          <w:rFonts w:ascii="宋体" w:eastAsia="宋体" w:hAnsi="宋体" w:cs="宋体"/>
          <w:b/>
          <w:kern w:val="0"/>
          <w:sz w:val="24"/>
          <w:szCs w:val="24"/>
        </w:rPr>
        <w:t>2019年平板玻璃原片价格一路走高，纯碱价格则震荡走跌，玻璃生产利润相对较好而纯碱行业利润持续压缩，对于产业链上下游的两个行业来说，差异化较大的利润水平难以长期维持，目前纯碱价格已跌至成本线附近，下跌空间相对有限，但产业利润分配需要时间调节。</w:t>
      </w:r>
    </w:p>
    <w:p w:rsidR="000E5B74" w:rsidRPr="0067394E" w:rsidRDefault="0067394E" w:rsidP="00C6595B">
      <w:pPr>
        <w:widowControl/>
        <w:spacing w:line="360" w:lineRule="auto"/>
        <w:ind w:firstLineChars="200" w:firstLine="482"/>
        <w:jc w:val="left"/>
        <w:rPr>
          <w:rFonts w:ascii="宋体" w:eastAsia="宋体" w:hAnsi="宋体" w:cs="宋体"/>
          <w:b/>
          <w:kern w:val="0"/>
          <w:sz w:val="24"/>
          <w:szCs w:val="24"/>
        </w:rPr>
      </w:pPr>
      <w:r>
        <w:rPr>
          <w:rFonts w:ascii="宋体" w:eastAsia="宋体" w:hAnsi="宋体" w:cs="宋体" w:hint="eastAsia"/>
          <w:b/>
          <w:color w:val="FF0000"/>
          <w:kern w:val="0"/>
          <w:sz w:val="24"/>
          <w:szCs w:val="24"/>
        </w:rPr>
        <w:t>3、</w:t>
      </w:r>
      <w:r w:rsidR="000E5B74" w:rsidRPr="00C6595B">
        <w:rPr>
          <w:rFonts w:ascii="宋体" w:eastAsia="宋体" w:hAnsi="宋体" w:cs="宋体"/>
          <w:kern w:val="0"/>
          <w:sz w:val="24"/>
          <w:szCs w:val="24"/>
        </w:rPr>
        <w:t>湖北地区玻璃深加工企业腊月23-27左右开始放假，但目前已经基本停止接单，复工时间大约在公历2月初至2月中旬，厂家将有接近一个月时间处于库存净增加的状态，2019年春节前后全省库存量是近几年最高值，</w:t>
      </w:r>
      <w:r w:rsidR="000E5B74" w:rsidRPr="0067394E">
        <w:rPr>
          <w:rFonts w:ascii="宋体" w:eastAsia="宋体" w:hAnsi="宋体" w:cs="宋体"/>
          <w:b/>
          <w:kern w:val="0"/>
          <w:sz w:val="24"/>
          <w:szCs w:val="24"/>
        </w:rPr>
        <w:t>据厂家反映，按照目前库存累积速度，今年节后厂家库存或将高于去年同期。</w:t>
      </w:r>
    </w:p>
    <w:p w:rsidR="000E5B74" w:rsidRPr="00C6595B" w:rsidRDefault="00A07BB4" w:rsidP="00C6595B">
      <w:pPr>
        <w:widowControl/>
        <w:spacing w:line="360" w:lineRule="auto"/>
        <w:ind w:firstLine="480"/>
        <w:jc w:val="left"/>
        <w:rPr>
          <w:rFonts w:ascii="宋体" w:eastAsia="宋体" w:hAnsi="宋体" w:cs="宋体"/>
          <w:kern w:val="0"/>
          <w:sz w:val="24"/>
          <w:szCs w:val="24"/>
        </w:rPr>
      </w:pPr>
      <w:r w:rsidRPr="00C6595B">
        <w:rPr>
          <w:rFonts w:ascii="宋体" w:eastAsia="宋体" w:hAnsi="宋体" w:cs="宋体"/>
          <w:b/>
          <w:kern w:val="0"/>
          <w:sz w:val="32"/>
          <w:szCs w:val="32"/>
        </w:rPr>
        <w:t>背景：</w:t>
      </w:r>
      <w:r w:rsidR="000E5B74" w:rsidRPr="00C6595B">
        <w:rPr>
          <w:rFonts w:ascii="宋体" w:eastAsia="宋体" w:hAnsi="宋体" w:cs="宋体"/>
          <w:kern w:val="0"/>
          <w:sz w:val="24"/>
          <w:szCs w:val="24"/>
        </w:rPr>
        <w:t>2019年邢台市大气质量欠佳，常居2+26城市中倒数，大气污染防治压力较大，因此政府要求沙河地区六条生产玻璃原片的生产线由烧煤制气改为烧天然气。但企业并未真正实施停产，</w:t>
      </w:r>
      <w:r w:rsidR="000E5B74" w:rsidRPr="00C6595B">
        <w:rPr>
          <w:rFonts w:ascii="宋体" w:eastAsia="宋体" w:hAnsi="宋体" w:cs="宋体"/>
          <w:b/>
          <w:kern w:val="0"/>
          <w:sz w:val="24"/>
          <w:szCs w:val="24"/>
        </w:rPr>
        <w:t>政府与企业进行超过半年的博弈，最终截至年末，该六条生产线中仅两条进行了冷修操作，其余生产线仍在正常运行。</w:t>
      </w:r>
      <w:r w:rsidR="000E5B74" w:rsidRPr="00C6595B">
        <w:rPr>
          <w:rFonts w:ascii="宋体" w:eastAsia="宋体" w:hAnsi="宋体" w:cs="宋体"/>
          <w:b/>
          <w:color w:val="FF0000"/>
          <w:kern w:val="0"/>
          <w:sz w:val="24"/>
          <w:szCs w:val="24"/>
        </w:rPr>
        <w:t>年末政府不再强制企业停产，转而对厂家贸易物流进行限制。</w:t>
      </w:r>
      <w:r w:rsidR="000E5B74" w:rsidRPr="00C6595B">
        <w:rPr>
          <w:rFonts w:ascii="宋体" w:eastAsia="宋体" w:hAnsi="宋体" w:cs="宋体"/>
          <w:kern w:val="0"/>
          <w:sz w:val="24"/>
          <w:szCs w:val="24"/>
        </w:rPr>
        <w:t>物流限制方式包括两种，一种是根据厂家的产能情况限制进出厂的车辆，车辆需每日办理通行证；另一种更加严格的状态是在天气情况较差的时候完全</w:t>
      </w:r>
      <w:r w:rsidR="000E5B74" w:rsidRPr="00C6595B">
        <w:rPr>
          <w:rFonts w:ascii="宋体" w:eastAsia="宋体" w:hAnsi="宋体" w:cs="宋体"/>
          <w:kern w:val="0"/>
          <w:sz w:val="24"/>
          <w:szCs w:val="24"/>
        </w:rPr>
        <w:lastRenderedPageBreak/>
        <w:t>禁止原料及产成品出库。</w:t>
      </w:r>
      <w:r w:rsidR="000E5B74" w:rsidRPr="002D5A3D">
        <w:rPr>
          <w:rFonts w:ascii="宋体" w:eastAsia="宋体" w:hAnsi="宋体" w:cs="宋体"/>
          <w:b/>
          <w:color w:val="0070C0"/>
          <w:kern w:val="0"/>
          <w:sz w:val="24"/>
          <w:szCs w:val="24"/>
        </w:rPr>
        <w:t>这是近几年来沙河地区最严格的物流限制，由此一来沙河地区原片出库收到重大影响。沙河地区玻璃原片产能集中，并且原料采购成本较低，同时物流上也有北上车辆返程绕道沙河运输的地理优势，因此沙河玻璃贸易半径较大，主要流向华东地区，当价差足够覆盖运输成本的情况下甚至辐射至华南地区。而沙河运输受限，流入外地市场的玻璃量大幅缩减。少了大量沙河低价玻璃的冲击，其余玻璃产量大省如山东、湖北等地区也因此受益良多。</w:t>
      </w:r>
      <w:r w:rsidR="000E5B74" w:rsidRPr="00C6595B">
        <w:rPr>
          <w:rFonts w:ascii="宋体" w:eastAsia="宋体" w:hAnsi="宋体" w:cs="宋体"/>
          <w:kern w:val="0"/>
          <w:sz w:val="24"/>
          <w:szCs w:val="24"/>
        </w:rPr>
        <w:t>近期价格较低的东北玻璃沿海运不断冲击华东甚至华南市场，湖北省库存累积速度较快</w:t>
      </w:r>
      <w:r w:rsidR="002D5A3D">
        <w:rPr>
          <w:rFonts w:ascii="宋体" w:eastAsia="宋体" w:hAnsi="宋体" w:cs="宋体"/>
          <w:kern w:val="0"/>
          <w:sz w:val="24"/>
          <w:szCs w:val="24"/>
        </w:rPr>
        <w:t>。</w:t>
      </w:r>
      <w:r w:rsidR="000E5B74" w:rsidRPr="00C6595B">
        <w:rPr>
          <w:rFonts w:ascii="宋体" w:eastAsia="宋体" w:hAnsi="宋体" w:cs="宋体"/>
          <w:kern w:val="0"/>
          <w:sz w:val="24"/>
          <w:szCs w:val="24"/>
        </w:rPr>
        <w:t> </w:t>
      </w:r>
    </w:p>
    <w:p w:rsidR="000E5B74" w:rsidRPr="000E5B74" w:rsidRDefault="0067394E" w:rsidP="00C6595B">
      <w:pPr>
        <w:widowControl/>
        <w:spacing w:line="360" w:lineRule="auto"/>
        <w:ind w:firstLine="480"/>
        <w:jc w:val="left"/>
        <w:rPr>
          <w:rFonts w:ascii="宋体" w:eastAsia="宋体" w:hAnsi="宋体" w:cs="宋体"/>
          <w:kern w:val="0"/>
          <w:sz w:val="24"/>
          <w:szCs w:val="24"/>
        </w:rPr>
      </w:pPr>
      <w:r>
        <w:rPr>
          <w:rFonts w:ascii="宋体" w:eastAsia="宋体" w:hAnsi="宋体" w:cs="宋体"/>
          <w:kern w:val="0"/>
          <w:sz w:val="24"/>
          <w:szCs w:val="24"/>
        </w:rPr>
        <w:t>4、</w:t>
      </w:r>
      <w:r w:rsidR="000E5B74" w:rsidRPr="00C6595B">
        <w:rPr>
          <w:rFonts w:ascii="宋体" w:eastAsia="宋体" w:hAnsi="宋体" w:cs="宋体"/>
          <w:kern w:val="0"/>
          <w:sz w:val="24"/>
          <w:szCs w:val="24"/>
        </w:rPr>
        <w:t>2019年全国纯碱行业总体处于供应过剩的状态，</w:t>
      </w:r>
      <w:r w:rsidR="00C243E2" w:rsidRPr="00C6595B">
        <w:rPr>
          <w:rFonts w:ascii="宋体" w:eastAsia="宋体" w:hAnsi="宋体" w:cs="宋体"/>
          <w:kern w:val="0"/>
          <w:sz w:val="24"/>
          <w:szCs w:val="24"/>
        </w:rPr>
        <w:t>浮法玻璃生产用纯碱用量稳定在1:0.2的比例，玻璃企业对重质纯碱采购相当稳定</w:t>
      </w:r>
      <w:r w:rsidR="00C6595B">
        <w:rPr>
          <w:rFonts w:ascii="宋体" w:eastAsia="宋体" w:hAnsi="宋体" w:cs="宋体"/>
          <w:kern w:val="0"/>
          <w:sz w:val="24"/>
          <w:szCs w:val="24"/>
        </w:rPr>
        <w:t>，</w:t>
      </w:r>
      <w:r w:rsidR="00C243E2" w:rsidRPr="00C6595B">
        <w:rPr>
          <w:rFonts w:ascii="宋体" w:eastAsia="宋体" w:hAnsi="宋体" w:cs="宋体"/>
          <w:kern w:val="0"/>
          <w:sz w:val="24"/>
          <w:szCs w:val="24"/>
        </w:rPr>
        <w:t>纯碱企业库存长期维持较低水平。</w:t>
      </w:r>
      <w:r w:rsidR="000E5B74" w:rsidRPr="00C6595B">
        <w:rPr>
          <w:rFonts w:ascii="宋体" w:eastAsia="宋体" w:hAnsi="宋体" w:cs="宋体"/>
          <w:kern w:val="0"/>
          <w:sz w:val="24"/>
          <w:szCs w:val="24"/>
        </w:rPr>
        <w:t>据隆众资讯统计，2019年12月末纯碱厂家库存最高值超过80万吨，而去年同期厂家库存水平在30万吨以下，同比增加接近200%，库存增加幅度十分惊人。2019年平板玻璃产能净增量较少，加上纯碱产能利用率长期维持在90%左右，在供应增加需求并无太大增长的背景下，纯碱企业库存缓慢累积</w:t>
      </w:r>
      <w:r w:rsidR="00C6595B">
        <w:rPr>
          <w:rFonts w:ascii="宋体" w:eastAsia="宋体" w:hAnsi="宋体" w:cs="宋体"/>
          <w:kern w:val="0"/>
          <w:sz w:val="24"/>
          <w:szCs w:val="24"/>
        </w:rPr>
        <w:t>。</w:t>
      </w:r>
    </w:p>
    <w:p w:rsidR="00C243E2" w:rsidRPr="00C6595B" w:rsidRDefault="0067394E" w:rsidP="00C6595B">
      <w:pPr>
        <w:widowControl/>
        <w:spacing w:line="360" w:lineRule="auto"/>
        <w:ind w:firstLine="480"/>
        <w:jc w:val="left"/>
        <w:rPr>
          <w:rFonts w:ascii="宋体" w:eastAsia="宋体" w:hAnsi="宋体" w:cs="宋体"/>
          <w:kern w:val="0"/>
          <w:sz w:val="24"/>
          <w:szCs w:val="24"/>
        </w:rPr>
      </w:pPr>
      <w:r>
        <w:rPr>
          <w:rFonts w:ascii="宋体" w:eastAsia="宋体" w:hAnsi="宋体" w:cs="宋体"/>
          <w:kern w:val="0"/>
          <w:sz w:val="24"/>
          <w:szCs w:val="24"/>
        </w:rPr>
        <w:t>5、</w:t>
      </w:r>
      <w:r w:rsidR="000E5B74" w:rsidRPr="00C6595B">
        <w:rPr>
          <w:rFonts w:ascii="宋体" w:eastAsia="宋体" w:hAnsi="宋体" w:cs="宋体"/>
          <w:kern w:val="0"/>
          <w:sz w:val="24"/>
          <w:szCs w:val="24"/>
        </w:rPr>
        <w:t>纯碱生产装置相比浮法玻璃生产线弹性较大，纯碱装置可通过加减原料调节产量，关停成本也低于玻璃企业。随着陆续有企业进行限产，纯碱供应量缩减，截至1月6日全国纯碱企业库存量70万吨，环比12月中旬下降超过10万吨，纯碱价格也逐步在底部企稳。</w:t>
      </w:r>
    </w:p>
    <w:p w:rsidR="00E8202D" w:rsidRDefault="00A81407" w:rsidP="00C243E2">
      <w:pPr>
        <w:pStyle w:val="a6"/>
        <w:widowControl/>
        <w:shd w:val="clear" w:color="auto" w:fill="FFFFFF"/>
        <w:spacing w:beforeAutospacing="0" w:afterAutospacing="0" w:line="360" w:lineRule="auto"/>
        <w:ind w:firstLineChars="200" w:firstLine="380"/>
        <w:jc w:val="both"/>
        <w:rPr>
          <w:rFonts w:ascii="微软雅黑" w:eastAsia="微软雅黑" w:hAnsi="微软雅黑" w:cs="微软雅黑"/>
          <w:color w:val="333333"/>
          <w:sz w:val="19"/>
          <w:szCs w:val="19"/>
          <w:shd w:val="clear" w:color="auto" w:fill="FFFFFF"/>
        </w:rPr>
      </w:pPr>
      <w:r>
        <w:rPr>
          <w:rFonts w:ascii="微软雅黑" w:eastAsia="微软雅黑" w:hAnsi="微软雅黑" w:cs="微软雅黑" w:hint="eastAsia"/>
          <w:color w:val="333333"/>
          <w:sz w:val="19"/>
          <w:szCs w:val="19"/>
          <w:shd w:val="clear" w:color="auto" w:fill="FFFFFF"/>
        </w:rPr>
        <w:t xml:space="preserve">　</w:t>
      </w:r>
      <w:r w:rsidR="00C243E2">
        <w:rPr>
          <w:rFonts w:ascii="微软雅黑" w:eastAsia="微软雅黑" w:hAnsi="微软雅黑" w:cs="微软雅黑" w:hint="eastAsia"/>
          <w:noProof/>
          <w:color w:val="333333"/>
          <w:sz w:val="19"/>
          <w:szCs w:val="19"/>
          <w:shd w:val="clear" w:color="auto" w:fill="FFFFFF"/>
        </w:rPr>
        <w:drawing>
          <wp:inline distT="0" distB="0" distL="0" distR="0">
            <wp:extent cx="7551420" cy="662940"/>
            <wp:effectExtent l="1905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srcRect/>
                    <a:stretch>
                      <a:fillRect/>
                    </a:stretch>
                  </pic:blipFill>
                  <pic:spPr bwMode="auto">
                    <a:xfrm>
                      <a:off x="0" y="0"/>
                      <a:ext cx="7551420" cy="662940"/>
                    </a:xfrm>
                    <a:prstGeom prst="rect">
                      <a:avLst/>
                    </a:prstGeom>
                    <a:noFill/>
                    <a:ln w="9525">
                      <a:noFill/>
                      <a:miter lim="800000"/>
                      <a:headEnd/>
                      <a:tailEnd/>
                    </a:ln>
                  </pic:spPr>
                </pic:pic>
              </a:graphicData>
            </a:graphic>
          </wp:inline>
        </w:drawing>
      </w:r>
    </w:p>
    <w:p w:rsidR="00C243E2" w:rsidRDefault="00C243E2" w:rsidP="00C243E2">
      <w:pPr>
        <w:pStyle w:val="a6"/>
        <w:widowControl/>
        <w:shd w:val="clear" w:color="auto" w:fill="FFFFFF"/>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noProof/>
          <w:szCs w:val="24"/>
        </w:rPr>
        <w:drawing>
          <wp:inline distT="0" distB="0" distL="0" distR="0">
            <wp:extent cx="7589520" cy="312420"/>
            <wp:effectExtent l="1905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srcRect/>
                    <a:stretch>
                      <a:fillRect/>
                    </a:stretch>
                  </pic:blipFill>
                  <pic:spPr bwMode="auto">
                    <a:xfrm>
                      <a:off x="0" y="0"/>
                      <a:ext cx="7589520" cy="312420"/>
                    </a:xfrm>
                    <a:prstGeom prst="rect">
                      <a:avLst/>
                    </a:prstGeom>
                    <a:noFill/>
                    <a:ln w="9525">
                      <a:noFill/>
                      <a:miter lim="800000"/>
                      <a:headEnd/>
                      <a:tailEnd/>
                    </a:ln>
                  </pic:spPr>
                </pic:pic>
              </a:graphicData>
            </a:graphic>
          </wp:inline>
        </w:drawing>
      </w:r>
    </w:p>
    <w:p w:rsidR="00C243E2" w:rsidRDefault="00C243E2" w:rsidP="00C243E2">
      <w:pPr>
        <w:pStyle w:val="a6"/>
        <w:widowControl/>
        <w:shd w:val="clear" w:color="auto" w:fill="FFFFFF"/>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noProof/>
          <w:szCs w:val="24"/>
        </w:rPr>
        <w:lastRenderedPageBreak/>
        <w:drawing>
          <wp:inline distT="0" distB="0" distL="0" distR="0">
            <wp:extent cx="7627620" cy="624840"/>
            <wp:effectExtent l="1905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srcRect/>
                    <a:stretch>
                      <a:fillRect/>
                    </a:stretch>
                  </pic:blipFill>
                  <pic:spPr bwMode="auto">
                    <a:xfrm>
                      <a:off x="0" y="0"/>
                      <a:ext cx="7627620" cy="624840"/>
                    </a:xfrm>
                    <a:prstGeom prst="rect">
                      <a:avLst/>
                    </a:prstGeom>
                    <a:noFill/>
                    <a:ln w="9525">
                      <a:noFill/>
                      <a:miter lim="800000"/>
                      <a:headEnd/>
                      <a:tailEnd/>
                    </a:ln>
                  </pic:spPr>
                </pic:pic>
              </a:graphicData>
            </a:graphic>
          </wp:inline>
        </w:drawing>
      </w:r>
    </w:p>
    <w:p w:rsidR="00461371" w:rsidRDefault="00461371" w:rsidP="00C243E2">
      <w:pPr>
        <w:pStyle w:val="a6"/>
        <w:widowControl/>
        <w:shd w:val="clear" w:color="auto" w:fill="FFFFFF"/>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hint="eastAsia"/>
          <w:noProof/>
          <w:szCs w:val="24"/>
        </w:rPr>
        <w:drawing>
          <wp:inline distT="0" distB="0" distL="0" distR="0">
            <wp:extent cx="7696200" cy="784860"/>
            <wp:effectExtent l="1905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srcRect/>
                    <a:stretch>
                      <a:fillRect/>
                    </a:stretch>
                  </pic:blipFill>
                  <pic:spPr bwMode="auto">
                    <a:xfrm>
                      <a:off x="0" y="0"/>
                      <a:ext cx="7696200" cy="784860"/>
                    </a:xfrm>
                    <a:prstGeom prst="rect">
                      <a:avLst/>
                    </a:prstGeom>
                    <a:noFill/>
                    <a:ln w="9525">
                      <a:noFill/>
                      <a:miter lim="800000"/>
                      <a:headEnd/>
                      <a:tailEnd/>
                    </a:ln>
                  </pic:spPr>
                </pic:pic>
              </a:graphicData>
            </a:graphic>
          </wp:inline>
        </w:drawing>
      </w:r>
    </w:p>
    <w:p w:rsidR="00461371" w:rsidRDefault="00461371" w:rsidP="00C243E2">
      <w:pPr>
        <w:pStyle w:val="a6"/>
        <w:widowControl/>
        <w:shd w:val="clear" w:color="auto" w:fill="FFFFFF"/>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hint="eastAsia"/>
          <w:noProof/>
          <w:szCs w:val="24"/>
        </w:rPr>
        <w:drawing>
          <wp:inline distT="0" distB="0" distL="0" distR="0">
            <wp:extent cx="7589520" cy="655320"/>
            <wp:effectExtent l="1905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srcRect/>
                    <a:stretch>
                      <a:fillRect/>
                    </a:stretch>
                  </pic:blipFill>
                  <pic:spPr bwMode="auto">
                    <a:xfrm>
                      <a:off x="0" y="0"/>
                      <a:ext cx="7589520" cy="655320"/>
                    </a:xfrm>
                    <a:prstGeom prst="rect">
                      <a:avLst/>
                    </a:prstGeom>
                    <a:noFill/>
                    <a:ln w="9525">
                      <a:noFill/>
                      <a:miter lim="800000"/>
                      <a:headEnd/>
                      <a:tailEnd/>
                    </a:ln>
                  </pic:spPr>
                </pic:pic>
              </a:graphicData>
            </a:graphic>
          </wp:inline>
        </w:drawing>
      </w:r>
    </w:p>
    <w:p w:rsidR="00461371" w:rsidRDefault="00461371" w:rsidP="00C243E2">
      <w:pPr>
        <w:pStyle w:val="a6"/>
        <w:widowControl/>
        <w:shd w:val="clear" w:color="auto" w:fill="FFFFFF"/>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noProof/>
          <w:szCs w:val="24"/>
        </w:rPr>
        <w:drawing>
          <wp:inline distT="0" distB="0" distL="0" distR="0">
            <wp:extent cx="7620000" cy="373380"/>
            <wp:effectExtent l="1905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srcRect/>
                    <a:stretch>
                      <a:fillRect/>
                    </a:stretch>
                  </pic:blipFill>
                  <pic:spPr bwMode="auto">
                    <a:xfrm>
                      <a:off x="0" y="0"/>
                      <a:ext cx="7620000" cy="373380"/>
                    </a:xfrm>
                    <a:prstGeom prst="rect">
                      <a:avLst/>
                    </a:prstGeom>
                    <a:noFill/>
                    <a:ln w="9525">
                      <a:noFill/>
                      <a:miter lim="800000"/>
                      <a:headEnd/>
                      <a:tailEnd/>
                    </a:ln>
                  </pic:spPr>
                </pic:pic>
              </a:graphicData>
            </a:graphic>
          </wp:inline>
        </w:drawing>
      </w:r>
    </w:p>
    <w:p w:rsidR="00461371" w:rsidRDefault="00461371" w:rsidP="00C243E2">
      <w:pPr>
        <w:pStyle w:val="a6"/>
        <w:widowControl/>
        <w:shd w:val="clear" w:color="auto" w:fill="FFFFFF"/>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hint="eastAsia"/>
          <w:noProof/>
          <w:szCs w:val="24"/>
        </w:rPr>
        <w:drawing>
          <wp:inline distT="0" distB="0" distL="0" distR="0">
            <wp:extent cx="7620000" cy="678180"/>
            <wp:effectExtent l="1905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a:srcRect/>
                    <a:stretch>
                      <a:fillRect/>
                    </a:stretch>
                  </pic:blipFill>
                  <pic:spPr bwMode="auto">
                    <a:xfrm>
                      <a:off x="0" y="0"/>
                      <a:ext cx="7620000" cy="678180"/>
                    </a:xfrm>
                    <a:prstGeom prst="rect">
                      <a:avLst/>
                    </a:prstGeom>
                    <a:noFill/>
                    <a:ln w="9525">
                      <a:noFill/>
                      <a:miter lim="800000"/>
                      <a:headEnd/>
                      <a:tailEnd/>
                    </a:ln>
                  </pic:spPr>
                </pic:pic>
              </a:graphicData>
            </a:graphic>
          </wp:inline>
        </w:drawing>
      </w:r>
    </w:p>
    <w:p w:rsidR="00461371" w:rsidRDefault="00461371" w:rsidP="00C243E2">
      <w:pPr>
        <w:pStyle w:val="a6"/>
        <w:widowControl/>
        <w:shd w:val="clear" w:color="auto" w:fill="FFFFFF"/>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hint="eastAsia"/>
          <w:noProof/>
          <w:szCs w:val="24"/>
        </w:rPr>
        <w:drawing>
          <wp:inline distT="0" distB="0" distL="0" distR="0">
            <wp:extent cx="7627620" cy="350520"/>
            <wp:effectExtent l="1905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a:srcRect/>
                    <a:stretch>
                      <a:fillRect/>
                    </a:stretch>
                  </pic:blipFill>
                  <pic:spPr bwMode="auto">
                    <a:xfrm>
                      <a:off x="0" y="0"/>
                      <a:ext cx="7627620" cy="350520"/>
                    </a:xfrm>
                    <a:prstGeom prst="rect">
                      <a:avLst/>
                    </a:prstGeom>
                    <a:noFill/>
                    <a:ln w="9525">
                      <a:noFill/>
                      <a:miter lim="800000"/>
                      <a:headEnd/>
                      <a:tailEnd/>
                    </a:ln>
                  </pic:spPr>
                </pic:pic>
              </a:graphicData>
            </a:graphic>
          </wp:inline>
        </w:drawing>
      </w:r>
    </w:p>
    <w:p w:rsidR="00461371" w:rsidRDefault="00461371" w:rsidP="00C243E2">
      <w:pPr>
        <w:pStyle w:val="a6"/>
        <w:widowControl/>
        <w:shd w:val="clear" w:color="auto" w:fill="FFFFFF"/>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hint="eastAsia"/>
          <w:noProof/>
          <w:szCs w:val="24"/>
        </w:rPr>
        <w:lastRenderedPageBreak/>
        <w:drawing>
          <wp:inline distT="0" distB="0" distL="0" distR="0">
            <wp:extent cx="6225540" cy="2811780"/>
            <wp:effectExtent l="19050" t="0" r="381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
                    <a:srcRect/>
                    <a:stretch>
                      <a:fillRect/>
                    </a:stretch>
                  </pic:blipFill>
                  <pic:spPr bwMode="auto">
                    <a:xfrm>
                      <a:off x="0" y="0"/>
                      <a:ext cx="6225540" cy="2811780"/>
                    </a:xfrm>
                    <a:prstGeom prst="rect">
                      <a:avLst/>
                    </a:prstGeom>
                    <a:noFill/>
                    <a:ln w="9525">
                      <a:noFill/>
                      <a:miter lim="800000"/>
                      <a:headEnd/>
                      <a:tailEnd/>
                    </a:ln>
                  </pic:spPr>
                </pic:pic>
              </a:graphicData>
            </a:graphic>
          </wp:inline>
        </w:drawing>
      </w:r>
    </w:p>
    <w:p w:rsidR="00461371" w:rsidRDefault="00461371" w:rsidP="00C243E2">
      <w:pPr>
        <w:pStyle w:val="a6"/>
        <w:widowControl/>
        <w:shd w:val="clear" w:color="auto" w:fill="FFFFFF"/>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hint="eastAsia"/>
          <w:noProof/>
          <w:szCs w:val="24"/>
        </w:rPr>
        <w:drawing>
          <wp:inline distT="0" distB="0" distL="0" distR="0">
            <wp:extent cx="6316980" cy="1127760"/>
            <wp:effectExtent l="19050" t="0" r="762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0"/>
                    <a:srcRect/>
                    <a:stretch>
                      <a:fillRect/>
                    </a:stretch>
                  </pic:blipFill>
                  <pic:spPr bwMode="auto">
                    <a:xfrm>
                      <a:off x="0" y="0"/>
                      <a:ext cx="6316980" cy="1127760"/>
                    </a:xfrm>
                    <a:prstGeom prst="rect">
                      <a:avLst/>
                    </a:prstGeom>
                    <a:noFill/>
                    <a:ln w="9525">
                      <a:noFill/>
                      <a:miter lim="800000"/>
                      <a:headEnd/>
                      <a:tailEnd/>
                    </a:ln>
                  </pic:spPr>
                </pic:pic>
              </a:graphicData>
            </a:graphic>
          </wp:inline>
        </w:drawing>
      </w:r>
    </w:p>
    <w:p w:rsidR="00461371" w:rsidRDefault="00461371" w:rsidP="00C243E2">
      <w:pPr>
        <w:pStyle w:val="a6"/>
        <w:widowControl/>
        <w:shd w:val="clear" w:color="auto" w:fill="FFFFFF"/>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hint="eastAsia"/>
          <w:noProof/>
          <w:szCs w:val="24"/>
        </w:rPr>
        <w:lastRenderedPageBreak/>
        <w:drawing>
          <wp:inline distT="0" distB="0" distL="0" distR="0">
            <wp:extent cx="6263640" cy="1676400"/>
            <wp:effectExtent l="19050" t="0" r="381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1"/>
                    <a:srcRect/>
                    <a:stretch>
                      <a:fillRect/>
                    </a:stretch>
                  </pic:blipFill>
                  <pic:spPr bwMode="auto">
                    <a:xfrm>
                      <a:off x="0" y="0"/>
                      <a:ext cx="6263640" cy="1676400"/>
                    </a:xfrm>
                    <a:prstGeom prst="rect">
                      <a:avLst/>
                    </a:prstGeom>
                    <a:noFill/>
                    <a:ln w="9525">
                      <a:noFill/>
                      <a:miter lim="800000"/>
                      <a:headEnd/>
                      <a:tailEnd/>
                    </a:ln>
                  </pic:spPr>
                </pic:pic>
              </a:graphicData>
            </a:graphic>
          </wp:inline>
        </w:drawing>
      </w:r>
    </w:p>
    <w:p w:rsidR="00461371" w:rsidRDefault="00461371" w:rsidP="00C243E2">
      <w:pPr>
        <w:pStyle w:val="a6"/>
        <w:widowControl/>
        <w:shd w:val="clear" w:color="auto" w:fill="FFFFFF"/>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noProof/>
          <w:szCs w:val="24"/>
        </w:rPr>
        <w:drawing>
          <wp:inline distT="0" distB="0" distL="0" distR="0">
            <wp:extent cx="6316980" cy="1356360"/>
            <wp:effectExtent l="19050" t="0" r="762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2"/>
                    <a:srcRect/>
                    <a:stretch>
                      <a:fillRect/>
                    </a:stretch>
                  </pic:blipFill>
                  <pic:spPr bwMode="auto">
                    <a:xfrm>
                      <a:off x="0" y="0"/>
                      <a:ext cx="6316980" cy="1356360"/>
                    </a:xfrm>
                    <a:prstGeom prst="rect">
                      <a:avLst/>
                    </a:prstGeom>
                    <a:noFill/>
                    <a:ln w="9525">
                      <a:noFill/>
                      <a:miter lim="800000"/>
                      <a:headEnd/>
                      <a:tailEnd/>
                    </a:ln>
                  </pic:spPr>
                </pic:pic>
              </a:graphicData>
            </a:graphic>
          </wp:inline>
        </w:drawing>
      </w:r>
    </w:p>
    <w:p w:rsidR="00461371" w:rsidRDefault="00273C31" w:rsidP="00C243E2">
      <w:pPr>
        <w:pStyle w:val="a6"/>
        <w:widowControl/>
        <w:shd w:val="clear" w:color="auto" w:fill="FFFFFF"/>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hint="eastAsia"/>
          <w:noProof/>
          <w:szCs w:val="24"/>
        </w:rPr>
        <w:lastRenderedPageBreak/>
        <w:drawing>
          <wp:inline distT="0" distB="0" distL="0" distR="0">
            <wp:extent cx="6736080" cy="4061460"/>
            <wp:effectExtent l="19050" t="0" r="762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3"/>
                    <a:srcRect/>
                    <a:stretch>
                      <a:fillRect/>
                    </a:stretch>
                  </pic:blipFill>
                  <pic:spPr bwMode="auto">
                    <a:xfrm>
                      <a:off x="0" y="0"/>
                      <a:ext cx="6736080" cy="4061460"/>
                    </a:xfrm>
                    <a:prstGeom prst="rect">
                      <a:avLst/>
                    </a:prstGeom>
                    <a:noFill/>
                    <a:ln w="9525">
                      <a:noFill/>
                      <a:miter lim="800000"/>
                      <a:headEnd/>
                      <a:tailEnd/>
                    </a:ln>
                  </pic:spPr>
                </pic:pic>
              </a:graphicData>
            </a:graphic>
          </wp:inline>
        </w:drawing>
      </w:r>
    </w:p>
    <w:p w:rsidR="00273C31" w:rsidRDefault="00273C31" w:rsidP="00C243E2">
      <w:pPr>
        <w:pStyle w:val="a6"/>
        <w:widowControl/>
        <w:shd w:val="clear" w:color="auto" w:fill="FFFFFF"/>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hint="eastAsia"/>
          <w:noProof/>
          <w:szCs w:val="24"/>
        </w:rPr>
        <w:lastRenderedPageBreak/>
        <w:drawing>
          <wp:inline distT="0" distB="0" distL="0" distR="0">
            <wp:extent cx="6797040" cy="2674620"/>
            <wp:effectExtent l="19050" t="0" r="3810"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4"/>
                    <a:srcRect/>
                    <a:stretch>
                      <a:fillRect/>
                    </a:stretch>
                  </pic:blipFill>
                  <pic:spPr bwMode="auto">
                    <a:xfrm>
                      <a:off x="0" y="0"/>
                      <a:ext cx="6797040" cy="2674620"/>
                    </a:xfrm>
                    <a:prstGeom prst="rect">
                      <a:avLst/>
                    </a:prstGeom>
                    <a:noFill/>
                    <a:ln w="9525">
                      <a:noFill/>
                      <a:miter lim="800000"/>
                      <a:headEnd/>
                      <a:tailEnd/>
                    </a:ln>
                  </pic:spPr>
                </pic:pic>
              </a:graphicData>
            </a:graphic>
          </wp:inline>
        </w:drawing>
      </w:r>
    </w:p>
    <w:p w:rsidR="00461371" w:rsidRDefault="00273C31" w:rsidP="00C243E2">
      <w:pPr>
        <w:pStyle w:val="a6"/>
        <w:widowControl/>
        <w:shd w:val="clear" w:color="auto" w:fill="FFFFFF"/>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hint="eastAsia"/>
          <w:noProof/>
          <w:szCs w:val="24"/>
        </w:rPr>
        <w:lastRenderedPageBreak/>
        <w:drawing>
          <wp:inline distT="0" distB="0" distL="0" distR="0">
            <wp:extent cx="6766560" cy="5593080"/>
            <wp:effectExtent l="1905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5"/>
                    <a:srcRect/>
                    <a:stretch>
                      <a:fillRect/>
                    </a:stretch>
                  </pic:blipFill>
                  <pic:spPr bwMode="auto">
                    <a:xfrm>
                      <a:off x="0" y="0"/>
                      <a:ext cx="6766560" cy="5593080"/>
                    </a:xfrm>
                    <a:prstGeom prst="rect">
                      <a:avLst/>
                    </a:prstGeom>
                    <a:noFill/>
                    <a:ln w="9525">
                      <a:noFill/>
                      <a:miter lim="800000"/>
                      <a:headEnd/>
                      <a:tailEnd/>
                    </a:ln>
                  </pic:spPr>
                </pic:pic>
              </a:graphicData>
            </a:graphic>
          </wp:inline>
        </w:drawing>
      </w:r>
    </w:p>
    <w:p w:rsidR="00273C31" w:rsidRDefault="00273C31" w:rsidP="00C243E2">
      <w:pPr>
        <w:pStyle w:val="a6"/>
        <w:widowControl/>
        <w:shd w:val="clear" w:color="auto" w:fill="FFFFFF"/>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hint="eastAsia"/>
          <w:noProof/>
          <w:szCs w:val="24"/>
        </w:rPr>
        <w:lastRenderedPageBreak/>
        <w:drawing>
          <wp:inline distT="0" distB="0" distL="0" distR="0">
            <wp:extent cx="6835140" cy="3688080"/>
            <wp:effectExtent l="19050" t="0" r="381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6"/>
                    <a:srcRect/>
                    <a:stretch>
                      <a:fillRect/>
                    </a:stretch>
                  </pic:blipFill>
                  <pic:spPr bwMode="auto">
                    <a:xfrm>
                      <a:off x="0" y="0"/>
                      <a:ext cx="6835140" cy="3688080"/>
                    </a:xfrm>
                    <a:prstGeom prst="rect">
                      <a:avLst/>
                    </a:prstGeom>
                    <a:noFill/>
                    <a:ln w="9525">
                      <a:noFill/>
                      <a:miter lim="800000"/>
                      <a:headEnd/>
                      <a:tailEnd/>
                    </a:ln>
                  </pic:spPr>
                </pic:pic>
              </a:graphicData>
            </a:graphic>
          </wp:inline>
        </w:drawing>
      </w:r>
    </w:p>
    <w:p w:rsidR="00273C31" w:rsidRDefault="00273C31" w:rsidP="00C243E2">
      <w:pPr>
        <w:pStyle w:val="a6"/>
        <w:widowControl/>
        <w:shd w:val="clear" w:color="auto" w:fill="FFFFFF"/>
        <w:spacing w:beforeAutospacing="0" w:afterAutospacing="0" w:line="360" w:lineRule="auto"/>
        <w:ind w:firstLineChars="200" w:firstLine="480"/>
        <w:jc w:val="both"/>
        <w:rPr>
          <w:rFonts w:ascii="宋体" w:eastAsia="宋体" w:hAnsi="宋体" w:cs="宋体"/>
          <w:szCs w:val="24"/>
        </w:rPr>
      </w:pPr>
    </w:p>
    <w:p w:rsidR="00461371" w:rsidRDefault="00273C31" w:rsidP="00C243E2">
      <w:pPr>
        <w:pStyle w:val="a6"/>
        <w:widowControl/>
        <w:shd w:val="clear" w:color="auto" w:fill="FFFFFF"/>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hint="eastAsia"/>
          <w:noProof/>
          <w:szCs w:val="24"/>
        </w:rPr>
        <w:drawing>
          <wp:inline distT="0" distB="0" distL="0" distR="0">
            <wp:extent cx="6781800" cy="716280"/>
            <wp:effectExtent l="19050" t="0" r="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7"/>
                    <a:srcRect/>
                    <a:stretch>
                      <a:fillRect/>
                    </a:stretch>
                  </pic:blipFill>
                  <pic:spPr bwMode="auto">
                    <a:xfrm>
                      <a:off x="0" y="0"/>
                      <a:ext cx="6781800" cy="716280"/>
                    </a:xfrm>
                    <a:prstGeom prst="rect">
                      <a:avLst/>
                    </a:prstGeom>
                    <a:noFill/>
                    <a:ln w="9525">
                      <a:noFill/>
                      <a:miter lim="800000"/>
                      <a:headEnd/>
                      <a:tailEnd/>
                    </a:ln>
                  </pic:spPr>
                </pic:pic>
              </a:graphicData>
            </a:graphic>
          </wp:inline>
        </w:drawing>
      </w:r>
    </w:p>
    <w:p w:rsidR="00273C31" w:rsidRDefault="00273C31" w:rsidP="00C243E2">
      <w:pPr>
        <w:pStyle w:val="a6"/>
        <w:widowControl/>
        <w:shd w:val="clear" w:color="auto" w:fill="FFFFFF"/>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hint="eastAsia"/>
          <w:noProof/>
          <w:szCs w:val="24"/>
        </w:rPr>
        <w:drawing>
          <wp:inline distT="0" distB="0" distL="0" distR="0">
            <wp:extent cx="6751320" cy="304800"/>
            <wp:effectExtent l="19050" t="0" r="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8"/>
                    <a:srcRect/>
                    <a:stretch>
                      <a:fillRect/>
                    </a:stretch>
                  </pic:blipFill>
                  <pic:spPr bwMode="auto">
                    <a:xfrm>
                      <a:off x="0" y="0"/>
                      <a:ext cx="6751320" cy="304800"/>
                    </a:xfrm>
                    <a:prstGeom prst="rect">
                      <a:avLst/>
                    </a:prstGeom>
                    <a:noFill/>
                    <a:ln w="9525">
                      <a:noFill/>
                      <a:miter lim="800000"/>
                      <a:headEnd/>
                      <a:tailEnd/>
                    </a:ln>
                  </pic:spPr>
                </pic:pic>
              </a:graphicData>
            </a:graphic>
          </wp:inline>
        </w:drawing>
      </w:r>
    </w:p>
    <w:p w:rsidR="00461371" w:rsidRDefault="00461371" w:rsidP="00C243E2">
      <w:pPr>
        <w:pStyle w:val="a6"/>
        <w:widowControl/>
        <w:shd w:val="clear" w:color="auto" w:fill="FFFFFF"/>
        <w:spacing w:beforeAutospacing="0" w:afterAutospacing="0" w:line="360" w:lineRule="auto"/>
        <w:ind w:firstLineChars="200" w:firstLine="480"/>
        <w:jc w:val="both"/>
        <w:rPr>
          <w:rFonts w:ascii="宋体" w:eastAsia="宋体" w:hAnsi="宋体" w:cs="宋体"/>
          <w:szCs w:val="24"/>
        </w:rPr>
      </w:pPr>
    </w:p>
    <w:p w:rsidR="00E8202D" w:rsidRDefault="00A81407">
      <w:pPr>
        <w:pStyle w:val="ab"/>
        <w:numPr>
          <w:ilvl w:val="0"/>
          <w:numId w:val="1"/>
        </w:numPr>
        <w:ind w:firstLineChars="0"/>
        <w:rPr>
          <w:b/>
          <w:sz w:val="28"/>
        </w:rPr>
      </w:pPr>
      <w:r>
        <w:rPr>
          <w:rFonts w:hint="eastAsia"/>
          <w:b/>
          <w:sz w:val="28"/>
        </w:rPr>
        <w:t>策略建议</w:t>
      </w:r>
    </w:p>
    <w:p w:rsidR="00E8202D" w:rsidRDefault="00A81407">
      <w:pPr>
        <w:pStyle w:val="ab"/>
        <w:ind w:firstLineChars="0" w:firstLine="0"/>
        <w:rPr>
          <w:b/>
          <w:sz w:val="28"/>
        </w:rPr>
      </w:pPr>
      <w:r>
        <w:rPr>
          <w:rFonts w:hint="eastAsia"/>
          <w:b/>
          <w:sz w:val="28"/>
        </w:rPr>
        <w:t>1</w:t>
      </w:r>
      <w:r>
        <w:rPr>
          <w:rFonts w:hint="eastAsia"/>
          <w:b/>
          <w:sz w:val="28"/>
        </w:rPr>
        <w:t>、</w:t>
      </w:r>
    </w:p>
    <w:tbl>
      <w:tblPr>
        <w:tblStyle w:val="a8"/>
        <w:tblW w:w="14174" w:type="dxa"/>
        <w:tblLayout w:type="fixed"/>
        <w:tblLook w:val="04A0"/>
      </w:tblPr>
      <w:tblGrid>
        <w:gridCol w:w="1242"/>
        <w:gridCol w:w="1418"/>
        <w:gridCol w:w="1134"/>
        <w:gridCol w:w="1134"/>
        <w:gridCol w:w="1134"/>
        <w:gridCol w:w="850"/>
        <w:gridCol w:w="7262"/>
      </w:tblGrid>
      <w:tr w:rsidR="00E8202D">
        <w:tc>
          <w:tcPr>
            <w:tcW w:w="14174" w:type="dxa"/>
            <w:gridSpan w:val="7"/>
            <w:shd w:val="clear" w:color="auto" w:fill="E5B8B7" w:themeFill="accent2" w:themeFillTint="66"/>
          </w:tcPr>
          <w:p w:rsidR="00E8202D" w:rsidRDefault="00A81407">
            <w:pPr>
              <w:rPr>
                <w:b/>
                <w:sz w:val="28"/>
              </w:rPr>
            </w:pPr>
            <w:r>
              <w:rPr>
                <w:b/>
                <w:sz w:val="28"/>
              </w:rPr>
              <w:t>注</w:t>
            </w:r>
            <w:r>
              <w:rPr>
                <w:rFonts w:hint="eastAsia"/>
                <w:b/>
                <w:sz w:val="28"/>
              </w:rPr>
              <w:t>：</w:t>
            </w:r>
            <w:r>
              <w:rPr>
                <w:b/>
                <w:sz w:val="28"/>
              </w:rPr>
              <w:t>建议总持仓不超过</w:t>
            </w:r>
            <w:r>
              <w:rPr>
                <w:rFonts w:hint="eastAsia"/>
                <w:b/>
                <w:sz w:val="28"/>
              </w:rPr>
              <w:t>50%</w:t>
            </w:r>
          </w:p>
        </w:tc>
      </w:tr>
      <w:tr w:rsidR="00E8202D">
        <w:tc>
          <w:tcPr>
            <w:tcW w:w="1242" w:type="dxa"/>
            <w:vMerge w:val="restart"/>
            <w:shd w:val="clear" w:color="auto" w:fill="FABF8F" w:themeFill="accent6" w:themeFillTint="99"/>
            <w:vAlign w:val="center"/>
          </w:tcPr>
          <w:p w:rsidR="00E8202D" w:rsidRDefault="00A81407">
            <w:pPr>
              <w:jc w:val="center"/>
              <w:rPr>
                <w:b/>
                <w:sz w:val="28"/>
              </w:rPr>
            </w:pPr>
            <w:r>
              <w:rPr>
                <w:b/>
                <w:sz w:val="28"/>
              </w:rPr>
              <w:t>计划</w:t>
            </w:r>
          </w:p>
          <w:p w:rsidR="00E8202D" w:rsidRDefault="00A81407">
            <w:pPr>
              <w:jc w:val="center"/>
              <w:rPr>
                <w:b/>
                <w:sz w:val="28"/>
              </w:rPr>
            </w:pPr>
            <w:r>
              <w:rPr>
                <w:b/>
                <w:sz w:val="28"/>
              </w:rPr>
              <w:t>入场</w:t>
            </w:r>
          </w:p>
        </w:tc>
        <w:tc>
          <w:tcPr>
            <w:tcW w:w="1418" w:type="dxa"/>
            <w:vMerge w:val="restart"/>
            <w:shd w:val="clear" w:color="auto" w:fill="DAEEF3" w:themeFill="accent5" w:themeFillTint="33"/>
            <w:vAlign w:val="center"/>
          </w:tcPr>
          <w:p w:rsidR="00E8202D" w:rsidRDefault="00A81407">
            <w:pPr>
              <w:jc w:val="center"/>
              <w:rPr>
                <w:b/>
                <w:sz w:val="28"/>
              </w:rPr>
            </w:pPr>
            <w:r>
              <w:rPr>
                <w:b/>
                <w:sz w:val="28"/>
              </w:rPr>
              <w:t>交易合约</w:t>
            </w:r>
          </w:p>
        </w:tc>
        <w:tc>
          <w:tcPr>
            <w:tcW w:w="2268" w:type="dxa"/>
            <w:gridSpan w:val="2"/>
            <w:shd w:val="clear" w:color="auto" w:fill="DAEEF3" w:themeFill="accent5" w:themeFillTint="33"/>
            <w:vAlign w:val="center"/>
          </w:tcPr>
          <w:p w:rsidR="00E8202D" w:rsidRDefault="00A81407">
            <w:pPr>
              <w:jc w:val="center"/>
              <w:rPr>
                <w:b/>
                <w:sz w:val="28"/>
              </w:rPr>
            </w:pPr>
            <w:r>
              <w:rPr>
                <w:b/>
                <w:sz w:val="28"/>
              </w:rPr>
              <w:t>周期</w:t>
            </w:r>
          </w:p>
        </w:tc>
        <w:tc>
          <w:tcPr>
            <w:tcW w:w="1134" w:type="dxa"/>
            <w:vMerge w:val="restart"/>
            <w:shd w:val="clear" w:color="auto" w:fill="DAEEF3" w:themeFill="accent5" w:themeFillTint="33"/>
            <w:vAlign w:val="center"/>
          </w:tcPr>
          <w:p w:rsidR="00E8202D" w:rsidRDefault="00A81407">
            <w:pPr>
              <w:jc w:val="center"/>
              <w:rPr>
                <w:b/>
                <w:sz w:val="28"/>
              </w:rPr>
            </w:pPr>
            <w:r>
              <w:rPr>
                <w:b/>
                <w:sz w:val="28"/>
              </w:rPr>
              <w:t>压力位</w:t>
            </w:r>
          </w:p>
          <w:p w:rsidR="00E8202D" w:rsidRDefault="00A81407">
            <w:pPr>
              <w:jc w:val="center"/>
              <w:rPr>
                <w:b/>
                <w:sz w:val="28"/>
              </w:rPr>
            </w:pPr>
            <w:r>
              <w:rPr>
                <w:rFonts w:hint="eastAsia"/>
                <w:b/>
                <w:sz w:val="28"/>
              </w:rPr>
              <w:t>支撑位</w:t>
            </w:r>
          </w:p>
        </w:tc>
        <w:tc>
          <w:tcPr>
            <w:tcW w:w="850" w:type="dxa"/>
            <w:vMerge w:val="restart"/>
            <w:shd w:val="clear" w:color="auto" w:fill="DAEEF3" w:themeFill="accent5" w:themeFillTint="33"/>
            <w:vAlign w:val="center"/>
          </w:tcPr>
          <w:p w:rsidR="00E8202D" w:rsidRDefault="00A81407">
            <w:pPr>
              <w:jc w:val="center"/>
              <w:rPr>
                <w:b/>
                <w:sz w:val="28"/>
              </w:rPr>
            </w:pPr>
            <w:r>
              <w:rPr>
                <w:b/>
                <w:sz w:val="28"/>
              </w:rPr>
              <w:t>仓位</w:t>
            </w:r>
          </w:p>
        </w:tc>
        <w:tc>
          <w:tcPr>
            <w:tcW w:w="7262" w:type="dxa"/>
            <w:vMerge w:val="restart"/>
            <w:shd w:val="clear" w:color="auto" w:fill="DAEEF3" w:themeFill="accent5" w:themeFillTint="33"/>
            <w:vAlign w:val="center"/>
          </w:tcPr>
          <w:p w:rsidR="00E8202D" w:rsidRDefault="00A81407">
            <w:pPr>
              <w:jc w:val="center"/>
              <w:rPr>
                <w:b/>
                <w:sz w:val="28"/>
              </w:rPr>
            </w:pPr>
            <w:r>
              <w:rPr>
                <w:b/>
                <w:sz w:val="28"/>
              </w:rPr>
              <w:t>交易逻辑</w:t>
            </w:r>
          </w:p>
        </w:tc>
      </w:tr>
      <w:tr w:rsidR="00E8202D">
        <w:tc>
          <w:tcPr>
            <w:tcW w:w="1242" w:type="dxa"/>
            <w:vMerge/>
            <w:shd w:val="clear" w:color="auto" w:fill="FABF8F" w:themeFill="accent6" w:themeFillTint="99"/>
          </w:tcPr>
          <w:p w:rsidR="00E8202D" w:rsidRDefault="00E8202D">
            <w:pPr>
              <w:rPr>
                <w:b/>
                <w:sz w:val="28"/>
              </w:rPr>
            </w:pPr>
          </w:p>
        </w:tc>
        <w:tc>
          <w:tcPr>
            <w:tcW w:w="1418" w:type="dxa"/>
            <w:vMerge/>
          </w:tcPr>
          <w:p w:rsidR="00E8202D" w:rsidRDefault="00E8202D">
            <w:pPr>
              <w:rPr>
                <w:b/>
                <w:sz w:val="28"/>
              </w:rPr>
            </w:pPr>
          </w:p>
        </w:tc>
        <w:tc>
          <w:tcPr>
            <w:tcW w:w="1134" w:type="dxa"/>
            <w:shd w:val="clear" w:color="auto" w:fill="DAEEF3" w:themeFill="accent5" w:themeFillTint="33"/>
            <w:vAlign w:val="center"/>
          </w:tcPr>
          <w:p w:rsidR="00E8202D" w:rsidRDefault="00A81407">
            <w:pPr>
              <w:jc w:val="center"/>
              <w:rPr>
                <w:b/>
                <w:sz w:val="28"/>
              </w:rPr>
            </w:pPr>
            <w:r>
              <w:rPr>
                <w:b/>
                <w:sz w:val="28"/>
              </w:rPr>
              <w:t>日线</w:t>
            </w:r>
          </w:p>
        </w:tc>
        <w:tc>
          <w:tcPr>
            <w:tcW w:w="1134" w:type="dxa"/>
            <w:shd w:val="clear" w:color="auto" w:fill="DAEEF3" w:themeFill="accent5" w:themeFillTint="33"/>
            <w:vAlign w:val="center"/>
          </w:tcPr>
          <w:p w:rsidR="00E8202D" w:rsidRDefault="00A81407">
            <w:pPr>
              <w:jc w:val="center"/>
              <w:rPr>
                <w:b/>
                <w:sz w:val="28"/>
              </w:rPr>
            </w:pPr>
            <w:r>
              <w:rPr>
                <w:b/>
                <w:sz w:val="28"/>
              </w:rPr>
              <w:t>周线</w:t>
            </w:r>
          </w:p>
        </w:tc>
        <w:tc>
          <w:tcPr>
            <w:tcW w:w="1134" w:type="dxa"/>
            <w:vMerge/>
          </w:tcPr>
          <w:p w:rsidR="00E8202D" w:rsidRDefault="00E8202D">
            <w:pPr>
              <w:rPr>
                <w:b/>
                <w:sz w:val="28"/>
              </w:rPr>
            </w:pPr>
          </w:p>
        </w:tc>
        <w:tc>
          <w:tcPr>
            <w:tcW w:w="850" w:type="dxa"/>
            <w:vMerge/>
          </w:tcPr>
          <w:p w:rsidR="00E8202D" w:rsidRDefault="00E8202D">
            <w:pPr>
              <w:rPr>
                <w:b/>
                <w:sz w:val="28"/>
              </w:rPr>
            </w:pPr>
          </w:p>
        </w:tc>
        <w:tc>
          <w:tcPr>
            <w:tcW w:w="7262" w:type="dxa"/>
            <w:vMerge/>
          </w:tcPr>
          <w:p w:rsidR="00E8202D" w:rsidRDefault="00E8202D">
            <w:pPr>
              <w:rPr>
                <w:b/>
                <w:sz w:val="28"/>
              </w:rPr>
            </w:pPr>
          </w:p>
        </w:tc>
      </w:tr>
      <w:tr w:rsidR="00E8202D">
        <w:trPr>
          <w:trHeight w:val="914"/>
        </w:trPr>
        <w:tc>
          <w:tcPr>
            <w:tcW w:w="1242" w:type="dxa"/>
            <w:vMerge/>
            <w:shd w:val="clear" w:color="auto" w:fill="FABF8F" w:themeFill="accent6" w:themeFillTint="99"/>
          </w:tcPr>
          <w:p w:rsidR="00E8202D" w:rsidRDefault="00E8202D">
            <w:pPr>
              <w:rPr>
                <w:b/>
                <w:sz w:val="28"/>
              </w:rPr>
            </w:pPr>
          </w:p>
        </w:tc>
        <w:tc>
          <w:tcPr>
            <w:tcW w:w="1418" w:type="dxa"/>
            <w:vMerge w:val="restart"/>
            <w:vAlign w:val="center"/>
          </w:tcPr>
          <w:p w:rsidR="00E8202D" w:rsidRDefault="00E135A3">
            <w:pPr>
              <w:widowControl/>
              <w:jc w:val="center"/>
              <w:textAlignment w:val="center"/>
              <w:rPr>
                <w:rFonts w:ascii="宋体" w:eastAsia="宋体" w:hAnsi="宋体" w:cs="宋体"/>
                <w:color w:val="000000"/>
                <w:sz w:val="24"/>
                <w:szCs w:val="24"/>
              </w:rPr>
            </w:pPr>
            <w:r w:rsidRPr="00E135A3">
              <w:rPr>
                <w:rFonts w:ascii="宋体" w:eastAsia="宋体" w:hAnsi="宋体" w:cs="宋体"/>
                <w:color w:val="000000"/>
                <w:kern w:val="0"/>
                <w:sz w:val="24"/>
                <w:szCs w:val="24"/>
              </w:rPr>
              <w:t>RU2005</w:t>
            </w:r>
          </w:p>
        </w:tc>
        <w:tc>
          <w:tcPr>
            <w:tcW w:w="1134" w:type="dxa"/>
            <w:vMerge w:val="restart"/>
            <w:vAlign w:val="center"/>
          </w:tcPr>
          <w:p w:rsidR="00E8202D" w:rsidRDefault="00A81407">
            <w:pPr>
              <w:widowControl/>
              <w:jc w:val="left"/>
            </w:pPr>
            <w:r>
              <w:rPr>
                <w:rFonts w:ascii="宋体" w:eastAsia="宋体" w:hAnsi="宋体" w:cs="宋体" w:hint="eastAsia"/>
                <w:color w:val="000000"/>
                <w:kern w:val="0"/>
                <w:sz w:val="24"/>
                <w:szCs w:val="24"/>
              </w:rPr>
              <w:t xml:space="preserve">震荡 </w:t>
            </w:r>
          </w:p>
          <w:p w:rsidR="00E8202D" w:rsidRDefault="00A81407">
            <w:pPr>
              <w:widowControl/>
              <w:jc w:val="left"/>
            </w:pPr>
            <w:r>
              <w:rPr>
                <w:rFonts w:ascii="宋体" w:eastAsia="宋体" w:hAnsi="宋体" w:cs="宋体" w:hint="eastAsia"/>
                <w:color w:val="000000"/>
                <w:kern w:val="0"/>
                <w:sz w:val="24"/>
                <w:szCs w:val="24"/>
              </w:rPr>
              <w:t xml:space="preserve">偏强 </w:t>
            </w:r>
          </w:p>
          <w:p w:rsidR="00E8202D" w:rsidRDefault="00E8202D">
            <w:pPr>
              <w:widowControl/>
              <w:jc w:val="center"/>
              <w:textAlignment w:val="center"/>
              <w:rPr>
                <w:rFonts w:ascii="宋体" w:eastAsia="宋体" w:hAnsi="宋体" w:cs="宋体"/>
                <w:color w:val="000000"/>
                <w:sz w:val="24"/>
                <w:szCs w:val="24"/>
              </w:rPr>
            </w:pPr>
          </w:p>
        </w:tc>
        <w:tc>
          <w:tcPr>
            <w:tcW w:w="1134" w:type="dxa"/>
            <w:vMerge w:val="restart"/>
            <w:vAlign w:val="center"/>
          </w:tcPr>
          <w:p w:rsidR="00E8202D" w:rsidRDefault="00A8140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震荡偏强</w:t>
            </w:r>
          </w:p>
        </w:tc>
        <w:tc>
          <w:tcPr>
            <w:tcW w:w="1134" w:type="dxa"/>
            <w:vAlign w:val="center"/>
          </w:tcPr>
          <w:p w:rsidR="00E8202D" w:rsidRDefault="00E135A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13600</w:t>
            </w:r>
          </w:p>
        </w:tc>
        <w:tc>
          <w:tcPr>
            <w:tcW w:w="850" w:type="dxa"/>
            <w:vMerge w:val="restart"/>
            <w:vAlign w:val="center"/>
          </w:tcPr>
          <w:p w:rsidR="00E8202D" w:rsidRDefault="00A81407">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&lt;20%</w:t>
            </w:r>
          </w:p>
        </w:tc>
        <w:tc>
          <w:tcPr>
            <w:tcW w:w="7262" w:type="dxa"/>
            <w:vMerge w:val="restart"/>
            <w:vAlign w:val="center"/>
          </w:tcPr>
          <w:p w:rsidR="00E8202D" w:rsidRDefault="00E135A3">
            <w:pPr>
              <w:widowControl/>
              <w:jc w:val="left"/>
              <w:textAlignment w:val="center"/>
              <w:rPr>
                <w:rFonts w:ascii="宋体" w:eastAsia="宋体" w:hAnsi="宋体" w:cs="宋体"/>
                <w:color w:val="000000"/>
                <w:sz w:val="24"/>
                <w:szCs w:val="24"/>
              </w:rPr>
            </w:pPr>
            <w:r w:rsidRPr="00E135A3">
              <w:rPr>
                <w:rFonts w:ascii="宋体" w:eastAsia="宋体" w:hAnsi="宋体" w:cs="宋体" w:hint="eastAsia"/>
                <w:color w:val="000000"/>
                <w:kern w:val="0"/>
                <w:sz w:val="24"/>
                <w:szCs w:val="24"/>
              </w:rPr>
              <w:t>目前胶市“供需两弱，政策挺价，情绪中性”。中国央行降准，中国持续逆周期操作；美伊关系恶化，中美第一阶段美贸易协议预计1月中旬签署；东南亚产胶国将由高产期过渡到减产期，中国步入停割期；11月中国汽车销量同比降幅缩窄环比上升；2019 年 1—11 月中国天然橡胶与合成橡胶进口总量为 582 万吨，同比下降 8.38%。其中，1—11 月天然橡胶进口 221 万吨，同比下降 4.5%；1—10 月混合胶进口 201万。根据已公布的进口明细看，截至 10 月底累计进口量最多的是混合胶，其次是天然胶乳，两者分别占到总进口量的 49%、11%。而这两个品种进口量同比上年分别减少了 15.54%、6.86%。上周中国全钢胎开工率续降，半钢胎开工负荷为 70.73%，较上周增加 7.91 %，较去年同期增加 4.54 %。</w:t>
            </w:r>
          </w:p>
        </w:tc>
      </w:tr>
      <w:tr w:rsidR="00E8202D">
        <w:tc>
          <w:tcPr>
            <w:tcW w:w="1242" w:type="dxa"/>
            <w:vMerge/>
            <w:shd w:val="clear" w:color="auto" w:fill="FABF8F" w:themeFill="accent6" w:themeFillTint="99"/>
          </w:tcPr>
          <w:p w:rsidR="00E8202D" w:rsidRDefault="00E8202D">
            <w:pPr>
              <w:rPr>
                <w:b/>
                <w:sz w:val="28"/>
              </w:rPr>
            </w:pPr>
          </w:p>
        </w:tc>
        <w:tc>
          <w:tcPr>
            <w:tcW w:w="1418" w:type="dxa"/>
            <w:vMerge/>
            <w:vAlign w:val="center"/>
          </w:tcPr>
          <w:p w:rsidR="00E8202D" w:rsidRDefault="00E8202D">
            <w:pPr>
              <w:jc w:val="center"/>
              <w:rPr>
                <w:b/>
                <w:sz w:val="28"/>
              </w:rPr>
            </w:pPr>
          </w:p>
        </w:tc>
        <w:tc>
          <w:tcPr>
            <w:tcW w:w="1134" w:type="dxa"/>
            <w:vMerge/>
            <w:vAlign w:val="center"/>
          </w:tcPr>
          <w:p w:rsidR="00E8202D" w:rsidRDefault="00E8202D">
            <w:pPr>
              <w:jc w:val="center"/>
              <w:rPr>
                <w:b/>
                <w:sz w:val="28"/>
              </w:rPr>
            </w:pPr>
          </w:p>
        </w:tc>
        <w:tc>
          <w:tcPr>
            <w:tcW w:w="1134" w:type="dxa"/>
            <w:vMerge/>
            <w:vAlign w:val="center"/>
          </w:tcPr>
          <w:p w:rsidR="00E8202D" w:rsidRDefault="00E8202D">
            <w:pPr>
              <w:jc w:val="center"/>
              <w:rPr>
                <w:b/>
                <w:sz w:val="28"/>
              </w:rPr>
            </w:pPr>
          </w:p>
        </w:tc>
        <w:tc>
          <w:tcPr>
            <w:tcW w:w="1134" w:type="dxa"/>
            <w:vAlign w:val="center"/>
          </w:tcPr>
          <w:p w:rsidR="00E8202D" w:rsidRDefault="00E135A3">
            <w:pPr>
              <w:widowControl/>
              <w:jc w:val="center"/>
              <w:textAlignment w:val="center"/>
              <w:rPr>
                <w:b/>
                <w:sz w:val="28"/>
              </w:rPr>
            </w:pPr>
            <w:r>
              <w:rPr>
                <w:rFonts w:ascii="宋体" w:eastAsia="宋体" w:hAnsi="宋体" w:cs="宋体" w:hint="eastAsia"/>
                <w:color w:val="000000"/>
                <w:kern w:val="0"/>
                <w:sz w:val="22"/>
              </w:rPr>
              <w:t>12800</w:t>
            </w:r>
          </w:p>
        </w:tc>
        <w:tc>
          <w:tcPr>
            <w:tcW w:w="850" w:type="dxa"/>
            <w:vMerge/>
            <w:vAlign w:val="center"/>
          </w:tcPr>
          <w:p w:rsidR="00E8202D" w:rsidRDefault="00E8202D">
            <w:pPr>
              <w:jc w:val="center"/>
              <w:rPr>
                <w:b/>
                <w:sz w:val="28"/>
              </w:rPr>
            </w:pPr>
          </w:p>
        </w:tc>
        <w:tc>
          <w:tcPr>
            <w:tcW w:w="7262" w:type="dxa"/>
            <w:vMerge/>
            <w:vAlign w:val="center"/>
          </w:tcPr>
          <w:p w:rsidR="00E8202D" w:rsidRDefault="00E8202D">
            <w:pPr>
              <w:jc w:val="left"/>
              <w:rPr>
                <w:b/>
                <w:sz w:val="28"/>
              </w:rPr>
            </w:pPr>
          </w:p>
        </w:tc>
      </w:tr>
      <w:tr w:rsidR="00E8202D">
        <w:trPr>
          <w:trHeight w:val="1295"/>
        </w:trPr>
        <w:tc>
          <w:tcPr>
            <w:tcW w:w="1242" w:type="dxa"/>
            <w:vMerge/>
            <w:shd w:val="clear" w:color="auto" w:fill="FABF8F" w:themeFill="accent6" w:themeFillTint="99"/>
          </w:tcPr>
          <w:p w:rsidR="00E8202D" w:rsidRDefault="00E8202D">
            <w:pPr>
              <w:rPr>
                <w:b/>
                <w:sz w:val="28"/>
              </w:rPr>
            </w:pPr>
          </w:p>
        </w:tc>
        <w:tc>
          <w:tcPr>
            <w:tcW w:w="1418" w:type="dxa"/>
            <w:vMerge w:val="restart"/>
            <w:vAlign w:val="center"/>
          </w:tcPr>
          <w:p w:rsidR="00E8202D" w:rsidRDefault="00E135A3">
            <w:pPr>
              <w:widowControl/>
              <w:jc w:val="center"/>
              <w:textAlignment w:val="center"/>
              <w:rPr>
                <w:rFonts w:ascii="宋体" w:eastAsia="宋体" w:hAnsi="宋体" w:cs="宋体"/>
                <w:color w:val="000000"/>
                <w:kern w:val="0"/>
                <w:sz w:val="24"/>
                <w:szCs w:val="24"/>
              </w:rPr>
            </w:pPr>
            <w:r w:rsidRPr="00E135A3">
              <w:rPr>
                <w:rFonts w:ascii="宋体" w:eastAsia="宋体" w:hAnsi="宋体" w:cs="宋体"/>
                <w:color w:val="000000"/>
                <w:kern w:val="0"/>
                <w:sz w:val="24"/>
                <w:szCs w:val="24"/>
              </w:rPr>
              <w:t>CF2005</w:t>
            </w:r>
          </w:p>
        </w:tc>
        <w:tc>
          <w:tcPr>
            <w:tcW w:w="1134" w:type="dxa"/>
            <w:vMerge w:val="restart"/>
            <w:vAlign w:val="center"/>
          </w:tcPr>
          <w:p w:rsidR="00E8202D" w:rsidRDefault="00A81407">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强</w:t>
            </w:r>
          </w:p>
        </w:tc>
        <w:tc>
          <w:tcPr>
            <w:tcW w:w="1134" w:type="dxa"/>
            <w:vMerge w:val="restart"/>
            <w:vAlign w:val="center"/>
          </w:tcPr>
          <w:p w:rsidR="00E8202D" w:rsidRDefault="00A81407">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震荡偏强</w:t>
            </w:r>
          </w:p>
        </w:tc>
        <w:tc>
          <w:tcPr>
            <w:tcW w:w="1134" w:type="dxa"/>
            <w:vAlign w:val="center"/>
          </w:tcPr>
          <w:p w:rsidR="00E8202D" w:rsidRDefault="00E135A3">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14500</w:t>
            </w:r>
          </w:p>
        </w:tc>
        <w:tc>
          <w:tcPr>
            <w:tcW w:w="850" w:type="dxa"/>
            <w:vMerge w:val="restart"/>
            <w:vAlign w:val="center"/>
          </w:tcPr>
          <w:p w:rsidR="00E8202D" w:rsidRDefault="00A81407">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&lt;20%</w:t>
            </w:r>
          </w:p>
        </w:tc>
        <w:tc>
          <w:tcPr>
            <w:tcW w:w="7262" w:type="dxa"/>
            <w:vMerge w:val="restart"/>
            <w:vAlign w:val="center"/>
          </w:tcPr>
          <w:p w:rsidR="00E8202D" w:rsidRDefault="00E135A3">
            <w:pPr>
              <w:widowControl/>
              <w:jc w:val="left"/>
              <w:textAlignment w:val="center"/>
              <w:rPr>
                <w:rFonts w:ascii="宋体" w:eastAsia="宋体" w:hAnsi="宋体" w:cs="宋体"/>
                <w:color w:val="000000"/>
                <w:kern w:val="0"/>
                <w:sz w:val="24"/>
                <w:szCs w:val="24"/>
              </w:rPr>
            </w:pPr>
            <w:r w:rsidRPr="00E135A3">
              <w:rPr>
                <w:rFonts w:ascii="宋体" w:eastAsia="宋体" w:hAnsi="宋体" w:cs="宋体" w:hint="eastAsia"/>
                <w:color w:val="000000"/>
                <w:kern w:val="0"/>
                <w:sz w:val="24"/>
                <w:szCs w:val="24"/>
              </w:rPr>
              <w:t>洲际交易所(ICE)棉花期货周四上涨逾 1%至八个月高位，美国农业部(USDA)月度供需报告公布前仍看多。国内市场：受近期郑棉大步上行影响，内地棉花抢收使得籽棉价格有所上涨，皮棉加工成本较前期增加。中国与美国贸易书面协议签署即将达成，市场消息称中美全面经济对话中方牵头人刘鹤将于本月 13 日－15 日率团访问华盛顿，与美方签署第一阶段经贸协议。操作上建议郑棉主力短期偏多思路对待。</w:t>
            </w:r>
          </w:p>
        </w:tc>
      </w:tr>
      <w:tr w:rsidR="00E8202D">
        <w:trPr>
          <w:trHeight w:val="1295"/>
        </w:trPr>
        <w:tc>
          <w:tcPr>
            <w:tcW w:w="1242" w:type="dxa"/>
            <w:vMerge/>
            <w:shd w:val="clear" w:color="auto" w:fill="FABF8F" w:themeFill="accent6" w:themeFillTint="99"/>
          </w:tcPr>
          <w:p w:rsidR="00E8202D" w:rsidRDefault="00E8202D">
            <w:pPr>
              <w:rPr>
                <w:b/>
                <w:sz w:val="28"/>
              </w:rPr>
            </w:pPr>
          </w:p>
        </w:tc>
        <w:tc>
          <w:tcPr>
            <w:tcW w:w="1418" w:type="dxa"/>
            <w:vMerge/>
            <w:vAlign w:val="center"/>
          </w:tcPr>
          <w:p w:rsidR="00E8202D" w:rsidRDefault="00E8202D">
            <w:pPr>
              <w:jc w:val="center"/>
              <w:rPr>
                <w:rFonts w:ascii="宋体" w:eastAsia="宋体" w:hAnsi="宋体" w:cs="宋体"/>
                <w:color w:val="000000"/>
                <w:kern w:val="0"/>
                <w:sz w:val="24"/>
                <w:szCs w:val="24"/>
              </w:rPr>
            </w:pPr>
          </w:p>
        </w:tc>
        <w:tc>
          <w:tcPr>
            <w:tcW w:w="1134" w:type="dxa"/>
            <w:vMerge/>
            <w:vAlign w:val="center"/>
          </w:tcPr>
          <w:p w:rsidR="00E8202D" w:rsidRDefault="00E8202D">
            <w:pPr>
              <w:jc w:val="center"/>
              <w:rPr>
                <w:rFonts w:ascii="宋体" w:eastAsia="宋体" w:hAnsi="宋体" w:cs="宋体"/>
                <w:color w:val="000000"/>
                <w:kern w:val="0"/>
                <w:sz w:val="24"/>
                <w:szCs w:val="24"/>
              </w:rPr>
            </w:pPr>
          </w:p>
        </w:tc>
        <w:tc>
          <w:tcPr>
            <w:tcW w:w="1134" w:type="dxa"/>
            <w:vMerge/>
            <w:vAlign w:val="center"/>
          </w:tcPr>
          <w:p w:rsidR="00E8202D" w:rsidRDefault="00E8202D">
            <w:pPr>
              <w:jc w:val="center"/>
              <w:rPr>
                <w:rFonts w:ascii="宋体" w:eastAsia="宋体" w:hAnsi="宋体" w:cs="宋体"/>
                <w:color w:val="000000"/>
                <w:kern w:val="0"/>
                <w:sz w:val="24"/>
                <w:szCs w:val="24"/>
              </w:rPr>
            </w:pPr>
          </w:p>
        </w:tc>
        <w:tc>
          <w:tcPr>
            <w:tcW w:w="1134" w:type="dxa"/>
            <w:vAlign w:val="center"/>
          </w:tcPr>
          <w:p w:rsidR="00E8202D" w:rsidRDefault="00E135A3">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13800</w:t>
            </w:r>
          </w:p>
        </w:tc>
        <w:tc>
          <w:tcPr>
            <w:tcW w:w="850" w:type="dxa"/>
            <w:vMerge/>
            <w:vAlign w:val="center"/>
          </w:tcPr>
          <w:p w:rsidR="00E8202D" w:rsidRDefault="00E8202D">
            <w:pPr>
              <w:jc w:val="center"/>
              <w:rPr>
                <w:rFonts w:ascii="宋体" w:eastAsia="宋体" w:hAnsi="宋体" w:cs="宋体"/>
                <w:color w:val="000000"/>
                <w:kern w:val="0"/>
                <w:sz w:val="24"/>
                <w:szCs w:val="24"/>
              </w:rPr>
            </w:pPr>
          </w:p>
        </w:tc>
        <w:tc>
          <w:tcPr>
            <w:tcW w:w="7262" w:type="dxa"/>
            <w:vMerge/>
            <w:vAlign w:val="center"/>
          </w:tcPr>
          <w:p w:rsidR="00E8202D" w:rsidRDefault="00E8202D">
            <w:pPr>
              <w:jc w:val="left"/>
              <w:rPr>
                <w:rFonts w:ascii="宋体" w:eastAsia="宋体" w:hAnsi="宋体" w:cs="宋体"/>
                <w:color w:val="000000"/>
                <w:kern w:val="0"/>
                <w:sz w:val="24"/>
                <w:szCs w:val="24"/>
              </w:rPr>
            </w:pPr>
          </w:p>
        </w:tc>
      </w:tr>
      <w:tr w:rsidR="00E8202D">
        <w:tc>
          <w:tcPr>
            <w:tcW w:w="1242" w:type="dxa"/>
            <w:vMerge w:val="restart"/>
            <w:shd w:val="clear" w:color="auto" w:fill="EAF1DD" w:themeFill="accent3" w:themeFillTint="33"/>
            <w:vAlign w:val="center"/>
          </w:tcPr>
          <w:p w:rsidR="00E8202D" w:rsidRDefault="00A81407">
            <w:pPr>
              <w:jc w:val="center"/>
              <w:rPr>
                <w:b/>
                <w:sz w:val="28"/>
              </w:rPr>
            </w:pPr>
            <w:r>
              <w:rPr>
                <w:b/>
                <w:sz w:val="28"/>
              </w:rPr>
              <w:t>研究</w:t>
            </w:r>
          </w:p>
          <w:p w:rsidR="00E8202D" w:rsidRDefault="00A81407">
            <w:pPr>
              <w:jc w:val="center"/>
              <w:rPr>
                <w:b/>
                <w:sz w:val="28"/>
              </w:rPr>
            </w:pPr>
            <w:r>
              <w:rPr>
                <w:b/>
                <w:sz w:val="28"/>
              </w:rPr>
              <w:t>品种</w:t>
            </w:r>
          </w:p>
        </w:tc>
        <w:tc>
          <w:tcPr>
            <w:tcW w:w="1418" w:type="dxa"/>
            <w:vMerge w:val="restart"/>
            <w:shd w:val="clear" w:color="auto" w:fill="DAEEF3" w:themeFill="accent5" w:themeFillTint="33"/>
            <w:vAlign w:val="center"/>
          </w:tcPr>
          <w:p w:rsidR="00E8202D" w:rsidRDefault="00A81407">
            <w:pPr>
              <w:jc w:val="center"/>
              <w:rPr>
                <w:b/>
                <w:sz w:val="28"/>
              </w:rPr>
            </w:pPr>
            <w:r>
              <w:rPr>
                <w:b/>
                <w:sz w:val="28"/>
              </w:rPr>
              <w:t>交易合约</w:t>
            </w:r>
          </w:p>
        </w:tc>
        <w:tc>
          <w:tcPr>
            <w:tcW w:w="2268" w:type="dxa"/>
            <w:gridSpan w:val="2"/>
            <w:shd w:val="clear" w:color="auto" w:fill="DAEEF3" w:themeFill="accent5" w:themeFillTint="33"/>
            <w:vAlign w:val="center"/>
          </w:tcPr>
          <w:p w:rsidR="00E8202D" w:rsidRDefault="00A81407">
            <w:pPr>
              <w:jc w:val="center"/>
              <w:rPr>
                <w:b/>
                <w:sz w:val="28"/>
              </w:rPr>
            </w:pPr>
            <w:r>
              <w:rPr>
                <w:b/>
                <w:sz w:val="28"/>
              </w:rPr>
              <w:t>周期</w:t>
            </w:r>
          </w:p>
        </w:tc>
        <w:tc>
          <w:tcPr>
            <w:tcW w:w="9246" w:type="dxa"/>
            <w:gridSpan w:val="3"/>
            <w:vMerge w:val="restart"/>
            <w:shd w:val="clear" w:color="auto" w:fill="DAEEF3" w:themeFill="accent5" w:themeFillTint="33"/>
            <w:vAlign w:val="center"/>
          </w:tcPr>
          <w:p w:rsidR="00E8202D" w:rsidRDefault="00A81407">
            <w:pPr>
              <w:jc w:val="center"/>
              <w:rPr>
                <w:b/>
                <w:sz w:val="28"/>
              </w:rPr>
            </w:pPr>
            <w:r>
              <w:rPr>
                <w:b/>
                <w:sz w:val="28"/>
              </w:rPr>
              <w:t>观察理由</w:t>
            </w:r>
          </w:p>
        </w:tc>
      </w:tr>
      <w:tr w:rsidR="00E8202D">
        <w:tc>
          <w:tcPr>
            <w:tcW w:w="1242" w:type="dxa"/>
            <w:vMerge/>
            <w:shd w:val="clear" w:color="auto" w:fill="EAF1DD" w:themeFill="accent3" w:themeFillTint="33"/>
          </w:tcPr>
          <w:p w:rsidR="00E8202D" w:rsidRDefault="00E8202D">
            <w:pPr>
              <w:rPr>
                <w:b/>
                <w:sz w:val="28"/>
              </w:rPr>
            </w:pPr>
          </w:p>
        </w:tc>
        <w:tc>
          <w:tcPr>
            <w:tcW w:w="1418" w:type="dxa"/>
            <w:vMerge/>
          </w:tcPr>
          <w:p w:rsidR="00E8202D" w:rsidRDefault="00E8202D">
            <w:pPr>
              <w:rPr>
                <w:b/>
                <w:sz w:val="28"/>
              </w:rPr>
            </w:pPr>
          </w:p>
        </w:tc>
        <w:tc>
          <w:tcPr>
            <w:tcW w:w="1134" w:type="dxa"/>
            <w:shd w:val="clear" w:color="auto" w:fill="DAEEF3" w:themeFill="accent5" w:themeFillTint="33"/>
            <w:vAlign w:val="center"/>
          </w:tcPr>
          <w:p w:rsidR="00E8202D" w:rsidRDefault="00A81407">
            <w:pPr>
              <w:jc w:val="center"/>
              <w:rPr>
                <w:b/>
                <w:sz w:val="28"/>
              </w:rPr>
            </w:pPr>
            <w:r>
              <w:rPr>
                <w:b/>
                <w:sz w:val="28"/>
              </w:rPr>
              <w:t>日线</w:t>
            </w:r>
          </w:p>
        </w:tc>
        <w:tc>
          <w:tcPr>
            <w:tcW w:w="1134" w:type="dxa"/>
            <w:shd w:val="clear" w:color="auto" w:fill="DAEEF3" w:themeFill="accent5" w:themeFillTint="33"/>
            <w:vAlign w:val="center"/>
          </w:tcPr>
          <w:p w:rsidR="00E8202D" w:rsidRDefault="00A81407">
            <w:pPr>
              <w:jc w:val="center"/>
              <w:rPr>
                <w:b/>
                <w:sz w:val="28"/>
              </w:rPr>
            </w:pPr>
            <w:r>
              <w:rPr>
                <w:b/>
                <w:sz w:val="28"/>
              </w:rPr>
              <w:t>周线</w:t>
            </w:r>
          </w:p>
        </w:tc>
        <w:tc>
          <w:tcPr>
            <w:tcW w:w="9246" w:type="dxa"/>
            <w:gridSpan w:val="3"/>
            <w:vMerge/>
          </w:tcPr>
          <w:p w:rsidR="00E8202D" w:rsidRDefault="00E8202D">
            <w:pPr>
              <w:rPr>
                <w:b/>
                <w:sz w:val="28"/>
              </w:rPr>
            </w:pPr>
          </w:p>
        </w:tc>
      </w:tr>
      <w:tr w:rsidR="00E135A3">
        <w:tc>
          <w:tcPr>
            <w:tcW w:w="1242" w:type="dxa"/>
            <w:vMerge/>
            <w:shd w:val="clear" w:color="auto" w:fill="EAF1DD" w:themeFill="accent3" w:themeFillTint="33"/>
          </w:tcPr>
          <w:p w:rsidR="00E135A3" w:rsidRDefault="00E135A3">
            <w:pPr>
              <w:rPr>
                <w:b/>
                <w:sz w:val="28"/>
              </w:rPr>
            </w:pPr>
          </w:p>
        </w:tc>
        <w:tc>
          <w:tcPr>
            <w:tcW w:w="1418" w:type="dxa"/>
            <w:vAlign w:val="center"/>
          </w:tcPr>
          <w:p w:rsidR="00E135A3" w:rsidRDefault="00E135A3">
            <w:pPr>
              <w:jc w:val="center"/>
              <w:rPr>
                <w:rFonts w:ascii="宋体" w:eastAsia="宋体" w:hAnsi="宋体" w:cs="宋体"/>
                <w:color w:val="000000"/>
                <w:sz w:val="24"/>
                <w:szCs w:val="24"/>
              </w:rPr>
            </w:pPr>
            <w:r>
              <w:rPr>
                <w:rFonts w:hint="eastAsia"/>
                <w:color w:val="000000"/>
              </w:rPr>
              <w:t>M2005</w:t>
            </w:r>
          </w:p>
        </w:tc>
        <w:tc>
          <w:tcPr>
            <w:tcW w:w="1134" w:type="dxa"/>
            <w:vAlign w:val="center"/>
          </w:tcPr>
          <w:p w:rsidR="00E135A3" w:rsidRDefault="00E135A3">
            <w:pPr>
              <w:jc w:val="center"/>
              <w:rPr>
                <w:rFonts w:ascii="宋体" w:eastAsia="宋体" w:hAnsi="宋体" w:cs="宋体"/>
                <w:color w:val="000000"/>
                <w:sz w:val="24"/>
                <w:szCs w:val="24"/>
              </w:rPr>
            </w:pPr>
            <w:r>
              <w:rPr>
                <w:rFonts w:hint="eastAsia"/>
                <w:color w:val="000000"/>
              </w:rPr>
              <w:t>震荡偏弱</w:t>
            </w:r>
          </w:p>
        </w:tc>
        <w:tc>
          <w:tcPr>
            <w:tcW w:w="1134" w:type="dxa"/>
            <w:vAlign w:val="center"/>
          </w:tcPr>
          <w:p w:rsidR="00E135A3" w:rsidRDefault="00E135A3">
            <w:pPr>
              <w:jc w:val="center"/>
              <w:rPr>
                <w:rFonts w:ascii="宋体" w:eastAsia="宋体" w:hAnsi="宋体" w:cs="宋体"/>
                <w:color w:val="000000"/>
                <w:sz w:val="24"/>
                <w:szCs w:val="24"/>
              </w:rPr>
            </w:pPr>
            <w:r>
              <w:rPr>
                <w:rFonts w:hint="eastAsia"/>
                <w:color w:val="000000"/>
              </w:rPr>
              <w:t>震荡</w:t>
            </w:r>
          </w:p>
        </w:tc>
        <w:tc>
          <w:tcPr>
            <w:tcW w:w="9246" w:type="dxa"/>
            <w:gridSpan w:val="3"/>
            <w:vAlign w:val="center"/>
          </w:tcPr>
          <w:p w:rsidR="00E135A3" w:rsidRDefault="00E135A3">
            <w:pPr>
              <w:rPr>
                <w:rFonts w:ascii="宋体" w:eastAsia="宋体" w:hAnsi="宋体" w:cs="宋体"/>
                <w:color w:val="000000"/>
                <w:sz w:val="24"/>
                <w:szCs w:val="24"/>
              </w:rPr>
            </w:pPr>
            <w:r w:rsidRPr="00E135A3">
              <w:rPr>
                <w:rFonts w:hint="eastAsia"/>
                <w:color w:val="000000"/>
              </w:rPr>
              <w:t>美国农业部</w:t>
            </w:r>
            <w:r w:rsidRPr="00E135A3">
              <w:rPr>
                <w:rFonts w:hint="eastAsia"/>
                <w:color w:val="000000"/>
              </w:rPr>
              <w:t>1</w:t>
            </w:r>
            <w:r w:rsidRPr="00E135A3">
              <w:rPr>
                <w:rFonts w:hint="eastAsia"/>
                <w:color w:val="000000"/>
              </w:rPr>
              <w:t>月份供需报告中性偏空，美豆收获面积被削减</w:t>
            </w:r>
            <w:r w:rsidRPr="00E135A3">
              <w:rPr>
                <w:rFonts w:hint="eastAsia"/>
                <w:color w:val="000000"/>
              </w:rPr>
              <w:t>60.50</w:t>
            </w:r>
            <w:r w:rsidRPr="00E135A3">
              <w:rPr>
                <w:rFonts w:hint="eastAsia"/>
                <w:color w:val="000000"/>
              </w:rPr>
              <w:t>万英亩至</w:t>
            </w:r>
            <w:r w:rsidRPr="00E135A3">
              <w:rPr>
                <w:rFonts w:hint="eastAsia"/>
                <w:color w:val="000000"/>
              </w:rPr>
              <w:t>7502.1</w:t>
            </w:r>
            <w:r w:rsidRPr="00E135A3">
              <w:rPr>
                <w:rFonts w:hint="eastAsia"/>
                <w:color w:val="000000"/>
              </w:rPr>
              <w:t>万英亩，美豆单产调高</w:t>
            </w:r>
            <w:r w:rsidRPr="00E135A3">
              <w:rPr>
                <w:rFonts w:hint="eastAsia"/>
                <w:color w:val="000000"/>
              </w:rPr>
              <w:t>0.5</w:t>
            </w:r>
            <w:r w:rsidRPr="00E135A3">
              <w:rPr>
                <w:rFonts w:hint="eastAsia"/>
                <w:color w:val="000000"/>
              </w:rPr>
              <w:t>蒲</w:t>
            </w:r>
            <w:r w:rsidRPr="00E135A3">
              <w:rPr>
                <w:rFonts w:hint="eastAsia"/>
                <w:color w:val="000000"/>
              </w:rPr>
              <w:t>/</w:t>
            </w:r>
            <w:r w:rsidRPr="00E135A3">
              <w:rPr>
                <w:rFonts w:hint="eastAsia"/>
                <w:color w:val="000000"/>
              </w:rPr>
              <w:t>英亩至</w:t>
            </w:r>
            <w:r w:rsidRPr="00E135A3">
              <w:rPr>
                <w:rFonts w:hint="eastAsia"/>
                <w:color w:val="000000"/>
              </w:rPr>
              <w:t>47.4</w:t>
            </w:r>
            <w:r w:rsidRPr="00E135A3">
              <w:rPr>
                <w:rFonts w:hint="eastAsia"/>
                <w:color w:val="000000"/>
              </w:rPr>
              <w:t>蒲</w:t>
            </w:r>
            <w:r w:rsidRPr="00E135A3">
              <w:rPr>
                <w:rFonts w:hint="eastAsia"/>
                <w:color w:val="000000"/>
              </w:rPr>
              <w:t>/</w:t>
            </w:r>
            <w:r w:rsidRPr="00E135A3">
              <w:rPr>
                <w:rFonts w:hint="eastAsia"/>
                <w:color w:val="000000"/>
              </w:rPr>
              <w:t>英亩，使得美豆产量较</w:t>
            </w:r>
            <w:r w:rsidRPr="00E135A3">
              <w:rPr>
                <w:rFonts w:hint="eastAsia"/>
                <w:color w:val="000000"/>
              </w:rPr>
              <w:t>12</w:t>
            </w:r>
            <w:r w:rsidRPr="00E135A3">
              <w:rPr>
                <w:rFonts w:hint="eastAsia"/>
                <w:color w:val="000000"/>
              </w:rPr>
              <w:t>月报告调高</w:t>
            </w:r>
            <w:r w:rsidRPr="00E135A3">
              <w:rPr>
                <w:rFonts w:hint="eastAsia"/>
                <w:color w:val="000000"/>
              </w:rPr>
              <w:t>800</w:t>
            </w:r>
            <w:r w:rsidRPr="00E135A3">
              <w:rPr>
                <w:rFonts w:hint="eastAsia"/>
                <w:color w:val="000000"/>
              </w:rPr>
              <w:t>万蒲至</w:t>
            </w:r>
            <w:r w:rsidRPr="00E135A3">
              <w:rPr>
                <w:rFonts w:hint="eastAsia"/>
                <w:color w:val="000000"/>
              </w:rPr>
              <w:t>35.58</w:t>
            </w:r>
            <w:r w:rsidRPr="00E135A3">
              <w:rPr>
                <w:rFonts w:hint="eastAsia"/>
                <w:color w:val="000000"/>
              </w:rPr>
              <w:t>亿蒲。截至目前豆粕库存为</w:t>
            </w:r>
            <w:r w:rsidRPr="00E135A3">
              <w:rPr>
                <w:rFonts w:hint="eastAsia"/>
                <w:color w:val="000000"/>
              </w:rPr>
              <w:t>63.15</w:t>
            </w:r>
            <w:r w:rsidRPr="00E135A3">
              <w:rPr>
                <w:rFonts w:hint="eastAsia"/>
                <w:color w:val="000000"/>
              </w:rPr>
              <w:t>万吨，比上周增加</w:t>
            </w:r>
            <w:r w:rsidRPr="00E135A3">
              <w:rPr>
                <w:rFonts w:hint="eastAsia"/>
                <w:color w:val="000000"/>
              </w:rPr>
              <w:t>6.76</w:t>
            </w:r>
            <w:r w:rsidRPr="00E135A3">
              <w:rPr>
                <w:rFonts w:hint="eastAsia"/>
                <w:color w:val="000000"/>
              </w:rPr>
              <w:t>万吨，增幅</w:t>
            </w:r>
            <w:r w:rsidRPr="00E135A3">
              <w:rPr>
                <w:rFonts w:hint="eastAsia"/>
                <w:color w:val="000000"/>
              </w:rPr>
              <w:t>11.99%</w:t>
            </w:r>
            <w:r w:rsidRPr="00E135A3">
              <w:rPr>
                <w:rFonts w:hint="eastAsia"/>
                <w:color w:val="000000"/>
              </w:rPr>
              <w:t>；未执行合同</w:t>
            </w:r>
            <w:r w:rsidRPr="00E135A3">
              <w:rPr>
                <w:rFonts w:hint="eastAsia"/>
                <w:color w:val="000000"/>
              </w:rPr>
              <w:t>486.95</w:t>
            </w:r>
            <w:r w:rsidRPr="00E135A3">
              <w:rPr>
                <w:rFonts w:hint="eastAsia"/>
                <w:color w:val="000000"/>
              </w:rPr>
              <w:t>万吨，较上周增加</w:t>
            </w:r>
            <w:r w:rsidRPr="00E135A3">
              <w:rPr>
                <w:rFonts w:hint="eastAsia"/>
                <w:color w:val="000000"/>
              </w:rPr>
              <w:t>76.73</w:t>
            </w:r>
            <w:r w:rsidRPr="00E135A3">
              <w:rPr>
                <w:rFonts w:hint="eastAsia"/>
                <w:color w:val="000000"/>
              </w:rPr>
              <w:t>万吨，增幅</w:t>
            </w:r>
            <w:r w:rsidRPr="00E135A3">
              <w:rPr>
                <w:rFonts w:hint="eastAsia"/>
                <w:color w:val="000000"/>
              </w:rPr>
              <w:t>18.7%</w:t>
            </w:r>
            <w:r w:rsidRPr="00E135A3">
              <w:rPr>
                <w:rFonts w:hint="eastAsia"/>
                <w:color w:val="000000"/>
              </w:rPr>
              <w:t>。油厂豆粕库存继续增加，同时国内大豆压榨继续保持高水平，开机率为</w:t>
            </w:r>
            <w:r w:rsidRPr="00E135A3">
              <w:rPr>
                <w:rFonts w:hint="eastAsia"/>
                <w:color w:val="000000"/>
              </w:rPr>
              <w:t>69.68%</w:t>
            </w:r>
            <w:r w:rsidRPr="00E135A3">
              <w:rPr>
                <w:rFonts w:hint="eastAsia"/>
                <w:color w:val="000000"/>
              </w:rPr>
              <w:t>。随着春节备货的结束，下游采购意愿不强，豆粕成交转淡。</w:t>
            </w:r>
          </w:p>
        </w:tc>
      </w:tr>
      <w:tr w:rsidR="00E135A3">
        <w:tc>
          <w:tcPr>
            <w:tcW w:w="1242" w:type="dxa"/>
            <w:vMerge/>
            <w:shd w:val="clear" w:color="auto" w:fill="EAF1DD" w:themeFill="accent3" w:themeFillTint="33"/>
          </w:tcPr>
          <w:p w:rsidR="00E135A3" w:rsidRDefault="00E135A3">
            <w:pPr>
              <w:rPr>
                <w:b/>
                <w:sz w:val="28"/>
              </w:rPr>
            </w:pPr>
          </w:p>
        </w:tc>
        <w:tc>
          <w:tcPr>
            <w:tcW w:w="1418" w:type="dxa"/>
            <w:vAlign w:val="center"/>
          </w:tcPr>
          <w:p w:rsidR="00E135A3" w:rsidRDefault="00E135A3">
            <w:pPr>
              <w:jc w:val="center"/>
              <w:rPr>
                <w:rFonts w:ascii="宋体" w:eastAsia="宋体" w:hAnsi="宋体" w:cs="宋体"/>
                <w:color w:val="000000"/>
                <w:sz w:val="24"/>
                <w:szCs w:val="24"/>
              </w:rPr>
            </w:pPr>
            <w:r>
              <w:rPr>
                <w:rFonts w:hint="eastAsia"/>
                <w:color w:val="000000"/>
              </w:rPr>
              <w:t>ZC005</w:t>
            </w:r>
          </w:p>
        </w:tc>
        <w:tc>
          <w:tcPr>
            <w:tcW w:w="1134" w:type="dxa"/>
            <w:vAlign w:val="center"/>
          </w:tcPr>
          <w:p w:rsidR="00E135A3" w:rsidRDefault="00E135A3">
            <w:pPr>
              <w:jc w:val="center"/>
              <w:rPr>
                <w:rFonts w:ascii="宋体" w:eastAsia="宋体" w:hAnsi="宋体" w:cs="宋体"/>
                <w:color w:val="000000"/>
                <w:sz w:val="24"/>
                <w:szCs w:val="24"/>
              </w:rPr>
            </w:pPr>
            <w:r>
              <w:rPr>
                <w:rFonts w:hint="eastAsia"/>
                <w:color w:val="000000"/>
              </w:rPr>
              <w:t>震荡偏弱</w:t>
            </w:r>
          </w:p>
        </w:tc>
        <w:tc>
          <w:tcPr>
            <w:tcW w:w="1134" w:type="dxa"/>
            <w:vAlign w:val="center"/>
          </w:tcPr>
          <w:p w:rsidR="00E135A3" w:rsidRDefault="00E135A3">
            <w:pPr>
              <w:jc w:val="center"/>
              <w:rPr>
                <w:rFonts w:ascii="宋体" w:eastAsia="宋体" w:hAnsi="宋体" w:cs="宋体"/>
                <w:color w:val="000000"/>
                <w:sz w:val="24"/>
                <w:szCs w:val="24"/>
              </w:rPr>
            </w:pPr>
            <w:r>
              <w:rPr>
                <w:rFonts w:hint="eastAsia"/>
                <w:color w:val="000000"/>
              </w:rPr>
              <w:t>震荡</w:t>
            </w:r>
          </w:p>
        </w:tc>
        <w:tc>
          <w:tcPr>
            <w:tcW w:w="9246" w:type="dxa"/>
            <w:gridSpan w:val="3"/>
            <w:vAlign w:val="center"/>
          </w:tcPr>
          <w:p w:rsidR="00E135A3" w:rsidRDefault="00E135A3">
            <w:pPr>
              <w:rPr>
                <w:rFonts w:ascii="宋体" w:eastAsia="宋体" w:hAnsi="宋体" w:cs="宋体"/>
                <w:color w:val="000000"/>
                <w:sz w:val="24"/>
                <w:szCs w:val="24"/>
              </w:rPr>
            </w:pPr>
            <w:r>
              <w:rPr>
                <w:rFonts w:hint="eastAsia"/>
                <w:color w:val="000000"/>
              </w:rPr>
              <w:br/>
            </w:r>
            <w:r w:rsidRPr="00E135A3">
              <w:rPr>
                <w:rFonts w:hint="eastAsia"/>
                <w:color w:val="000000"/>
              </w:rPr>
              <w:t>临近年底陕、蒙和晋三地安全检查频繁，个别煤矿开始进行陆续放假和停产状态，</w:t>
            </w:r>
            <w:r w:rsidRPr="00E135A3">
              <w:rPr>
                <w:rFonts w:hint="eastAsia"/>
                <w:color w:val="000000"/>
              </w:rPr>
              <w:t>4</w:t>
            </w:r>
            <w:r w:rsidRPr="00E135A3">
              <w:rPr>
                <w:rFonts w:hint="eastAsia"/>
                <w:color w:val="000000"/>
              </w:rPr>
              <w:t>日夜间至</w:t>
            </w:r>
            <w:r w:rsidRPr="00E135A3">
              <w:rPr>
                <w:rFonts w:hint="eastAsia"/>
                <w:color w:val="000000"/>
              </w:rPr>
              <w:t>6</w:t>
            </w:r>
            <w:r w:rsidRPr="00E135A3">
              <w:rPr>
                <w:rFonts w:hint="eastAsia"/>
                <w:color w:val="000000"/>
              </w:rPr>
              <w:t>日早上晋陕蒙迎来的强降雪天气迫使煤矿提前放假，预计陕西榆林地区大部分民营煤矿将于</w:t>
            </w:r>
            <w:r w:rsidRPr="00E135A3">
              <w:rPr>
                <w:rFonts w:hint="eastAsia"/>
                <w:color w:val="000000"/>
              </w:rPr>
              <w:t>1</w:t>
            </w:r>
            <w:r w:rsidRPr="00E135A3">
              <w:rPr>
                <w:rFonts w:hint="eastAsia"/>
                <w:color w:val="000000"/>
              </w:rPr>
              <w:t>月中旬停产放假。其中民营煤矿（包括集体、普通合伙）共</w:t>
            </w:r>
            <w:r w:rsidRPr="00E135A3">
              <w:rPr>
                <w:rFonts w:hint="eastAsia"/>
                <w:color w:val="000000"/>
              </w:rPr>
              <w:t>192</w:t>
            </w:r>
            <w:r w:rsidRPr="00E135A3">
              <w:rPr>
                <w:rFonts w:hint="eastAsia"/>
                <w:color w:val="000000"/>
              </w:rPr>
              <w:t>家，产能共</w:t>
            </w:r>
            <w:r w:rsidRPr="00E135A3">
              <w:rPr>
                <w:rFonts w:hint="eastAsia"/>
                <w:color w:val="000000"/>
              </w:rPr>
              <w:t>13857</w:t>
            </w:r>
            <w:r w:rsidRPr="00E135A3">
              <w:rPr>
                <w:rFonts w:hint="eastAsia"/>
                <w:color w:val="000000"/>
              </w:rPr>
              <w:t>万吨，约占榆林市煤炭总产能的</w:t>
            </w:r>
            <w:r w:rsidRPr="00E135A3">
              <w:rPr>
                <w:rFonts w:hint="eastAsia"/>
                <w:color w:val="000000"/>
              </w:rPr>
              <w:t>41%</w:t>
            </w:r>
            <w:r w:rsidRPr="00E135A3">
              <w:rPr>
                <w:rFonts w:hint="eastAsia"/>
                <w:color w:val="000000"/>
              </w:rPr>
              <w:t>。港口库存有所下降，报价略有微涨。六大发电集团受季节性需求影响，日耗维持较高水平，存在温和补库需求。</w:t>
            </w:r>
          </w:p>
        </w:tc>
      </w:tr>
      <w:tr w:rsidR="00E135A3">
        <w:tc>
          <w:tcPr>
            <w:tcW w:w="1242" w:type="dxa"/>
            <w:shd w:val="clear" w:color="auto" w:fill="EAF1DD" w:themeFill="accent3" w:themeFillTint="33"/>
          </w:tcPr>
          <w:p w:rsidR="00E135A3" w:rsidRDefault="00E135A3">
            <w:pPr>
              <w:rPr>
                <w:b/>
                <w:sz w:val="28"/>
              </w:rPr>
            </w:pPr>
          </w:p>
        </w:tc>
        <w:tc>
          <w:tcPr>
            <w:tcW w:w="1418" w:type="dxa"/>
            <w:vAlign w:val="center"/>
          </w:tcPr>
          <w:p w:rsidR="00E135A3" w:rsidRDefault="00E135A3">
            <w:pPr>
              <w:jc w:val="center"/>
              <w:rPr>
                <w:rFonts w:ascii="宋体" w:eastAsia="宋体" w:hAnsi="宋体" w:cs="宋体"/>
                <w:color w:val="000000"/>
                <w:sz w:val="24"/>
                <w:szCs w:val="24"/>
              </w:rPr>
            </w:pPr>
            <w:r>
              <w:rPr>
                <w:rFonts w:hint="eastAsia"/>
                <w:color w:val="000000"/>
              </w:rPr>
              <w:t>ZN2003</w:t>
            </w:r>
          </w:p>
        </w:tc>
        <w:tc>
          <w:tcPr>
            <w:tcW w:w="1134" w:type="dxa"/>
            <w:vAlign w:val="center"/>
          </w:tcPr>
          <w:p w:rsidR="00E135A3" w:rsidRDefault="00E135A3">
            <w:pPr>
              <w:jc w:val="center"/>
              <w:rPr>
                <w:rFonts w:ascii="宋体" w:eastAsia="宋体" w:hAnsi="宋体" w:cs="宋体"/>
                <w:color w:val="000000"/>
                <w:sz w:val="24"/>
                <w:szCs w:val="24"/>
              </w:rPr>
            </w:pPr>
            <w:r>
              <w:rPr>
                <w:rFonts w:hint="eastAsia"/>
                <w:color w:val="000000"/>
              </w:rPr>
              <w:t>震荡偏强</w:t>
            </w:r>
          </w:p>
        </w:tc>
        <w:tc>
          <w:tcPr>
            <w:tcW w:w="1134" w:type="dxa"/>
            <w:vAlign w:val="center"/>
          </w:tcPr>
          <w:p w:rsidR="00E135A3" w:rsidRDefault="00E135A3">
            <w:pPr>
              <w:jc w:val="center"/>
              <w:rPr>
                <w:rFonts w:ascii="宋体" w:eastAsia="宋体" w:hAnsi="宋体" w:cs="宋体"/>
                <w:color w:val="000000"/>
                <w:sz w:val="24"/>
                <w:szCs w:val="24"/>
              </w:rPr>
            </w:pPr>
            <w:r>
              <w:rPr>
                <w:rFonts w:hint="eastAsia"/>
                <w:color w:val="000000"/>
              </w:rPr>
              <w:t>震荡</w:t>
            </w:r>
          </w:p>
        </w:tc>
        <w:tc>
          <w:tcPr>
            <w:tcW w:w="9246" w:type="dxa"/>
            <w:gridSpan w:val="3"/>
            <w:vAlign w:val="center"/>
          </w:tcPr>
          <w:p w:rsidR="00E135A3" w:rsidRDefault="00E135A3">
            <w:pPr>
              <w:rPr>
                <w:rFonts w:ascii="宋体" w:eastAsia="宋体" w:hAnsi="宋体" w:cs="宋体"/>
                <w:color w:val="000000"/>
                <w:sz w:val="24"/>
                <w:szCs w:val="24"/>
              </w:rPr>
            </w:pPr>
            <w:r>
              <w:rPr>
                <w:rFonts w:hint="eastAsia"/>
                <w:color w:val="000000"/>
              </w:rPr>
              <w:t>根据</w:t>
            </w:r>
            <w:r>
              <w:rPr>
                <w:rFonts w:hint="eastAsia"/>
                <w:color w:val="000000"/>
              </w:rPr>
              <w:t>SMM</w:t>
            </w:r>
            <w:r>
              <w:rPr>
                <w:rFonts w:hint="eastAsia"/>
                <w:color w:val="000000"/>
              </w:rPr>
              <w:t>数据，</w:t>
            </w:r>
            <w:r>
              <w:rPr>
                <w:rFonts w:hint="eastAsia"/>
                <w:color w:val="000000"/>
              </w:rPr>
              <w:t>1</w:t>
            </w:r>
            <w:r>
              <w:rPr>
                <w:rFonts w:hint="eastAsia"/>
                <w:color w:val="000000"/>
              </w:rPr>
              <w:t>月</w:t>
            </w:r>
            <w:r>
              <w:rPr>
                <w:rFonts w:hint="eastAsia"/>
                <w:color w:val="000000"/>
              </w:rPr>
              <w:t>7</w:t>
            </w:r>
            <w:r>
              <w:rPr>
                <w:rFonts w:hint="eastAsia"/>
                <w:color w:val="000000"/>
              </w:rPr>
              <w:t>日，国内锌锭库存</w:t>
            </w:r>
            <w:r>
              <w:rPr>
                <w:rFonts w:hint="eastAsia"/>
                <w:color w:val="000000"/>
              </w:rPr>
              <w:t>9.49</w:t>
            </w:r>
            <w:r>
              <w:rPr>
                <w:rFonts w:hint="eastAsia"/>
                <w:color w:val="000000"/>
              </w:rPr>
              <w:t>万吨，较上周一减少</w:t>
            </w:r>
            <w:r>
              <w:rPr>
                <w:rFonts w:hint="eastAsia"/>
                <w:color w:val="000000"/>
              </w:rPr>
              <w:t>0.05</w:t>
            </w:r>
            <w:r>
              <w:rPr>
                <w:rFonts w:hint="eastAsia"/>
                <w:color w:val="000000"/>
              </w:rPr>
              <w:t>万吨。国内锌锭库存累积幅度有限，且海外锌库存不断创历史新低，对锌价构成一定支撑。从七地社会库存数据来看，认为当前的国内的库存消耗速度，尤其是下游的景气度在回暖。不过根据伍德麦肯兹预计，</w:t>
            </w:r>
            <w:r>
              <w:rPr>
                <w:rFonts w:hint="eastAsia"/>
                <w:color w:val="000000"/>
              </w:rPr>
              <w:t>2019</w:t>
            </w:r>
            <w:r>
              <w:rPr>
                <w:rFonts w:hint="eastAsia"/>
                <w:color w:val="000000"/>
              </w:rPr>
              <w:t>年全球</w:t>
            </w:r>
            <w:r>
              <w:rPr>
                <w:rFonts w:hint="eastAsia"/>
                <w:color w:val="000000"/>
              </w:rPr>
              <w:lastRenderedPageBreak/>
              <w:t>锌矿产量增加</w:t>
            </w:r>
            <w:r>
              <w:rPr>
                <w:rFonts w:hint="eastAsia"/>
                <w:color w:val="000000"/>
              </w:rPr>
              <w:t>31</w:t>
            </w:r>
            <w:r>
              <w:rPr>
                <w:rFonts w:hint="eastAsia"/>
                <w:color w:val="000000"/>
              </w:rPr>
              <w:t>万吨至</w:t>
            </w:r>
            <w:r>
              <w:rPr>
                <w:rFonts w:hint="eastAsia"/>
                <w:color w:val="000000"/>
              </w:rPr>
              <w:t>1299</w:t>
            </w:r>
            <w:r>
              <w:rPr>
                <w:rFonts w:hint="eastAsia"/>
                <w:color w:val="000000"/>
              </w:rPr>
              <w:t>万吨，</w:t>
            </w:r>
            <w:r>
              <w:rPr>
                <w:rFonts w:hint="eastAsia"/>
                <w:color w:val="000000"/>
              </w:rPr>
              <w:t>2020</w:t>
            </w:r>
            <w:r>
              <w:rPr>
                <w:rFonts w:hint="eastAsia"/>
                <w:color w:val="000000"/>
              </w:rPr>
              <w:t>年增加</w:t>
            </w:r>
            <w:r>
              <w:rPr>
                <w:rFonts w:hint="eastAsia"/>
                <w:color w:val="000000"/>
              </w:rPr>
              <w:t>85</w:t>
            </w:r>
            <w:r>
              <w:rPr>
                <w:rFonts w:hint="eastAsia"/>
                <w:color w:val="000000"/>
              </w:rPr>
              <w:t>万吨至</w:t>
            </w:r>
            <w:r>
              <w:rPr>
                <w:rFonts w:hint="eastAsia"/>
                <w:color w:val="000000"/>
              </w:rPr>
              <w:t>1384</w:t>
            </w:r>
            <w:r>
              <w:rPr>
                <w:rFonts w:hint="eastAsia"/>
                <w:color w:val="000000"/>
              </w:rPr>
              <w:t>万吨，</w:t>
            </w:r>
            <w:r>
              <w:rPr>
                <w:rFonts w:hint="eastAsia"/>
                <w:color w:val="000000"/>
              </w:rPr>
              <w:t>2021</w:t>
            </w:r>
            <w:r>
              <w:rPr>
                <w:rFonts w:hint="eastAsia"/>
                <w:color w:val="000000"/>
              </w:rPr>
              <w:t>年增加</w:t>
            </w:r>
            <w:r>
              <w:rPr>
                <w:rFonts w:hint="eastAsia"/>
                <w:color w:val="000000"/>
              </w:rPr>
              <w:t>4</w:t>
            </w:r>
            <w:r>
              <w:rPr>
                <w:rFonts w:hint="eastAsia"/>
                <w:color w:val="000000"/>
              </w:rPr>
              <w:t>万吨至</w:t>
            </w:r>
            <w:r>
              <w:rPr>
                <w:rFonts w:hint="eastAsia"/>
                <w:color w:val="000000"/>
              </w:rPr>
              <w:t>1388</w:t>
            </w:r>
            <w:r>
              <w:rPr>
                <w:rFonts w:hint="eastAsia"/>
                <w:color w:val="000000"/>
              </w:rPr>
              <w:t>万吨，</w:t>
            </w:r>
            <w:r>
              <w:rPr>
                <w:rFonts w:hint="eastAsia"/>
                <w:color w:val="000000"/>
              </w:rPr>
              <w:t>2022</w:t>
            </w:r>
            <w:r>
              <w:rPr>
                <w:rFonts w:hint="eastAsia"/>
                <w:color w:val="000000"/>
              </w:rPr>
              <w:t>年增加</w:t>
            </w:r>
            <w:r>
              <w:rPr>
                <w:rFonts w:hint="eastAsia"/>
                <w:color w:val="000000"/>
              </w:rPr>
              <w:t>2</w:t>
            </w:r>
            <w:r>
              <w:rPr>
                <w:rFonts w:hint="eastAsia"/>
                <w:color w:val="000000"/>
              </w:rPr>
              <w:t>万吨至</w:t>
            </w:r>
            <w:r>
              <w:rPr>
                <w:rFonts w:hint="eastAsia"/>
                <w:color w:val="000000"/>
              </w:rPr>
              <w:t>1340</w:t>
            </w:r>
            <w:r>
              <w:rPr>
                <w:rFonts w:hint="eastAsia"/>
                <w:color w:val="000000"/>
              </w:rPr>
              <w:t>万吨。近期国产矿及进口矿加工费维持高位，国内炼厂冶炼利润高企，国内锌锭供应继续保持增长</w:t>
            </w:r>
          </w:p>
        </w:tc>
      </w:tr>
      <w:tr w:rsidR="00E135A3">
        <w:tc>
          <w:tcPr>
            <w:tcW w:w="1242" w:type="dxa"/>
            <w:shd w:val="clear" w:color="auto" w:fill="EAF1DD" w:themeFill="accent3" w:themeFillTint="33"/>
          </w:tcPr>
          <w:p w:rsidR="00E135A3" w:rsidRDefault="00E135A3">
            <w:pPr>
              <w:rPr>
                <w:b/>
                <w:sz w:val="28"/>
              </w:rPr>
            </w:pPr>
          </w:p>
        </w:tc>
        <w:tc>
          <w:tcPr>
            <w:tcW w:w="1418" w:type="dxa"/>
            <w:vAlign w:val="center"/>
          </w:tcPr>
          <w:p w:rsidR="00E135A3" w:rsidRDefault="00E135A3">
            <w:pPr>
              <w:jc w:val="center"/>
              <w:rPr>
                <w:rFonts w:ascii="宋体" w:eastAsia="宋体" w:hAnsi="宋体" w:cs="宋体"/>
                <w:color w:val="000000"/>
                <w:sz w:val="24"/>
                <w:szCs w:val="24"/>
              </w:rPr>
            </w:pPr>
            <w:r>
              <w:rPr>
                <w:rFonts w:hint="eastAsia"/>
                <w:color w:val="000000"/>
              </w:rPr>
              <w:t>PP2005</w:t>
            </w:r>
          </w:p>
        </w:tc>
        <w:tc>
          <w:tcPr>
            <w:tcW w:w="1134" w:type="dxa"/>
            <w:vAlign w:val="center"/>
          </w:tcPr>
          <w:p w:rsidR="00E135A3" w:rsidRDefault="00E135A3">
            <w:pPr>
              <w:jc w:val="center"/>
              <w:rPr>
                <w:rFonts w:ascii="宋体" w:eastAsia="宋体" w:hAnsi="宋体" w:cs="宋体"/>
                <w:color w:val="000000"/>
                <w:sz w:val="24"/>
                <w:szCs w:val="24"/>
              </w:rPr>
            </w:pPr>
            <w:r>
              <w:rPr>
                <w:rFonts w:hint="eastAsia"/>
                <w:color w:val="000000"/>
              </w:rPr>
              <w:t>震荡</w:t>
            </w:r>
          </w:p>
        </w:tc>
        <w:tc>
          <w:tcPr>
            <w:tcW w:w="1134" w:type="dxa"/>
            <w:vAlign w:val="center"/>
          </w:tcPr>
          <w:p w:rsidR="00E135A3" w:rsidRDefault="00E135A3">
            <w:pPr>
              <w:jc w:val="center"/>
              <w:rPr>
                <w:rFonts w:ascii="宋体" w:eastAsia="宋体" w:hAnsi="宋体" w:cs="宋体"/>
                <w:color w:val="000000"/>
                <w:sz w:val="24"/>
                <w:szCs w:val="24"/>
              </w:rPr>
            </w:pPr>
            <w:r>
              <w:rPr>
                <w:rFonts w:hint="eastAsia"/>
                <w:color w:val="000000"/>
              </w:rPr>
              <w:t>震荡偏弱</w:t>
            </w:r>
          </w:p>
        </w:tc>
        <w:tc>
          <w:tcPr>
            <w:tcW w:w="9246" w:type="dxa"/>
            <w:gridSpan w:val="3"/>
            <w:vAlign w:val="center"/>
          </w:tcPr>
          <w:p w:rsidR="00E135A3" w:rsidRDefault="00E135A3">
            <w:pPr>
              <w:rPr>
                <w:rFonts w:ascii="宋体" w:eastAsia="宋体" w:hAnsi="宋体" w:cs="宋体"/>
                <w:color w:val="000000"/>
                <w:sz w:val="24"/>
                <w:szCs w:val="24"/>
              </w:rPr>
            </w:pPr>
            <w:r>
              <w:rPr>
                <w:rFonts w:hint="eastAsia"/>
                <w:color w:val="000000"/>
              </w:rPr>
              <w:t>PP</w:t>
            </w:r>
            <w:r>
              <w:rPr>
                <w:rFonts w:hint="eastAsia"/>
                <w:color w:val="000000"/>
              </w:rPr>
              <w:t>供应压力不减，进口货源增多，价格整体弱势，生产利润急剧下滑。</w:t>
            </w:r>
            <w:r>
              <w:rPr>
                <w:rFonts w:hint="eastAsia"/>
                <w:color w:val="000000"/>
              </w:rPr>
              <w:t>PP2001</w:t>
            </w:r>
            <w:r>
              <w:rPr>
                <w:rFonts w:hint="eastAsia"/>
                <w:color w:val="000000"/>
              </w:rPr>
              <w:t>合约本周进入交割期，静等交割后</w:t>
            </w:r>
            <w:r>
              <w:rPr>
                <w:rFonts w:hint="eastAsia"/>
                <w:color w:val="000000"/>
              </w:rPr>
              <w:t>2005</w:t>
            </w:r>
            <w:r>
              <w:rPr>
                <w:rFonts w:hint="eastAsia"/>
                <w:color w:val="000000"/>
              </w:rPr>
              <w:t>合约成为独立合约的交易机会。</w:t>
            </w:r>
          </w:p>
        </w:tc>
      </w:tr>
    </w:tbl>
    <w:p w:rsidR="00E8202D" w:rsidRDefault="00E8202D">
      <w:pPr>
        <w:rPr>
          <w:b/>
          <w:sz w:val="28"/>
        </w:rPr>
      </w:pPr>
    </w:p>
    <w:p w:rsidR="00E8202D" w:rsidRDefault="00A81407">
      <w:pPr>
        <w:rPr>
          <w:b/>
          <w:sz w:val="24"/>
        </w:rPr>
      </w:pPr>
      <w:r>
        <w:rPr>
          <w:rFonts w:hint="eastAsia"/>
          <w:b/>
          <w:sz w:val="24"/>
        </w:rPr>
        <w:t>免责声明：</w:t>
      </w:r>
    </w:p>
    <w:p w:rsidR="00E8202D" w:rsidRDefault="00A81407">
      <w:pPr>
        <w:rPr>
          <w:sz w:val="24"/>
        </w:rPr>
      </w:pPr>
      <w:r>
        <w:rPr>
          <w:rFonts w:hint="eastAsia"/>
          <w:sz w:val="24"/>
        </w:rPr>
        <w:t>本研究报告由民生期货有限公司撰写</w:t>
      </w:r>
      <w:r>
        <w:rPr>
          <w:rFonts w:hint="eastAsia"/>
          <w:sz w:val="24"/>
        </w:rPr>
        <w:t>,</w:t>
      </w:r>
      <w:r>
        <w:rPr>
          <w:rFonts w:hint="eastAsia"/>
          <w:sz w:val="24"/>
        </w:rPr>
        <w:t>本报告是根据国际和行业通行的准则，以合法渠道获得这些信息，尽可能保证可靠、准确和完整，但并不保证报告所述信息的准确性和完整性。本报告所载的全部内容只提供给客户做参考之用，并不构成对客户的投资建议，并非作为买卖、认购期货或其它金融工具的邀请或保证。客户不应单纯依靠本报告所载的内容而取代个人的独立判断。本报告不能作为道义的、责任的和法律的依据或者凭证，无论是否已经明示或者暗示。民生期货有限公司将随时补充、更正和修订有关信息，但不保证及时发布。对于本报告所提供信息所导致的任何直接的或者间接的投资盈亏后果，民生期货有限公司不承担任何责任。</w:t>
      </w:r>
    </w:p>
    <w:sectPr w:rsidR="00E8202D" w:rsidSect="00E8202D">
      <w:headerReference w:type="default" r:id="rId29"/>
      <w:footerReference w:type="default" r:id="rId3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432" w:rsidRDefault="00DA7432" w:rsidP="00E8202D">
      <w:r>
        <w:separator/>
      </w:r>
    </w:p>
  </w:endnote>
  <w:endnote w:type="continuationSeparator" w:id="1">
    <w:p w:rsidR="00DA7432" w:rsidRDefault="00DA7432" w:rsidP="00E82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03954"/>
    </w:sdtPr>
    <w:sdtContent>
      <w:p w:rsidR="00E8202D" w:rsidRDefault="00C37F99">
        <w:pPr>
          <w:pStyle w:val="a4"/>
          <w:jc w:val="center"/>
        </w:pPr>
        <w:r w:rsidRPr="00C37F99">
          <w:fldChar w:fldCharType="begin"/>
        </w:r>
        <w:r w:rsidR="00A81407">
          <w:instrText xml:space="preserve"> PAGE   \* MERGEFORMAT </w:instrText>
        </w:r>
        <w:r w:rsidRPr="00C37F99">
          <w:fldChar w:fldCharType="separate"/>
        </w:r>
        <w:r w:rsidR="001526A2" w:rsidRPr="001526A2">
          <w:rPr>
            <w:noProof/>
            <w:lang w:val="zh-CN"/>
          </w:rPr>
          <w:t>1</w:t>
        </w:r>
        <w:r>
          <w:rPr>
            <w:lang w:val="zh-CN"/>
          </w:rPr>
          <w:fldChar w:fldCharType="end"/>
        </w:r>
      </w:p>
    </w:sdtContent>
  </w:sdt>
  <w:p w:rsidR="00E8202D" w:rsidRDefault="00E820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432" w:rsidRDefault="00DA7432" w:rsidP="00E8202D">
      <w:r>
        <w:separator/>
      </w:r>
    </w:p>
  </w:footnote>
  <w:footnote w:type="continuationSeparator" w:id="1">
    <w:p w:rsidR="00DA7432" w:rsidRDefault="00DA7432" w:rsidP="00E82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2D" w:rsidRDefault="00A81407">
    <w:pPr>
      <w:pStyle w:val="a5"/>
      <w:jc w:val="right"/>
    </w:pPr>
    <w:r>
      <w:rPr>
        <w:noProof/>
      </w:rPr>
      <w:drawing>
        <wp:inline distT="0" distB="0" distL="0" distR="0">
          <wp:extent cx="2286000" cy="390525"/>
          <wp:effectExtent l="19050" t="0" r="0" b="0"/>
          <wp:docPr id="1" name="图片 0" descr="民生期货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民生期货LOGO.jpg"/>
                  <pic:cNvPicPr>
                    <a:picLocks noChangeAspect="1"/>
                  </pic:cNvPicPr>
                </pic:nvPicPr>
                <pic:blipFill>
                  <a:blip r:embed="rId1"/>
                  <a:stretch>
                    <a:fillRect/>
                  </a:stretch>
                </pic:blipFill>
                <pic:spPr>
                  <a:xfrm>
                    <a:off x="0" y="0"/>
                    <a:ext cx="2286000" cy="3905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84C7BC"/>
    <w:multiLevelType w:val="singleLevel"/>
    <w:tmpl w:val="8984C7BC"/>
    <w:lvl w:ilvl="0">
      <w:start w:val="1"/>
      <w:numFmt w:val="decimal"/>
      <w:suff w:val="nothing"/>
      <w:lvlText w:val="%1、"/>
      <w:lvlJc w:val="left"/>
    </w:lvl>
  </w:abstractNum>
  <w:abstractNum w:abstractNumId="1">
    <w:nsid w:val="1C9836CF"/>
    <w:multiLevelType w:val="multilevel"/>
    <w:tmpl w:val="1C9836C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25BB1"/>
    <w:rsid w:val="00094387"/>
    <w:rsid w:val="000A3AE3"/>
    <w:rsid w:val="000D3E65"/>
    <w:rsid w:val="000E5B74"/>
    <w:rsid w:val="00123A60"/>
    <w:rsid w:val="001526A2"/>
    <w:rsid w:val="001F2CDB"/>
    <w:rsid w:val="00242B18"/>
    <w:rsid w:val="00273C31"/>
    <w:rsid w:val="002C3352"/>
    <w:rsid w:val="002D5A3D"/>
    <w:rsid w:val="002F423D"/>
    <w:rsid w:val="002F7153"/>
    <w:rsid w:val="00331F84"/>
    <w:rsid w:val="00415983"/>
    <w:rsid w:val="00461371"/>
    <w:rsid w:val="004822CE"/>
    <w:rsid w:val="00483BC8"/>
    <w:rsid w:val="0049572B"/>
    <w:rsid w:val="004B4EEB"/>
    <w:rsid w:val="005565DB"/>
    <w:rsid w:val="005F12CF"/>
    <w:rsid w:val="00620863"/>
    <w:rsid w:val="0067394E"/>
    <w:rsid w:val="00692EBA"/>
    <w:rsid w:val="006C06B8"/>
    <w:rsid w:val="006D0B3C"/>
    <w:rsid w:val="00707E6E"/>
    <w:rsid w:val="00741D8D"/>
    <w:rsid w:val="008E3DD4"/>
    <w:rsid w:val="00912CC1"/>
    <w:rsid w:val="009E0892"/>
    <w:rsid w:val="00A07BB4"/>
    <w:rsid w:val="00A10970"/>
    <w:rsid w:val="00A25BB1"/>
    <w:rsid w:val="00A81407"/>
    <w:rsid w:val="00B77026"/>
    <w:rsid w:val="00BE3FBA"/>
    <w:rsid w:val="00C243E2"/>
    <w:rsid w:val="00C37F99"/>
    <w:rsid w:val="00C55A43"/>
    <w:rsid w:val="00C6595B"/>
    <w:rsid w:val="00CC4AC8"/>
    <w:rsid w:val="00CD22C9"/>
    <w:rsid w:val="00DA7432"/>
    <w:rsid w:val="00DC77E0"/>
    <w:rsid w:val="00DE477C"/>
    <w:rsid w:val="00E135A3"/>
    <w:rsid w:val="00E8202D"/>
    <w:rsid w:val="00FC251E"/>
    <w:rsid w:val="00FD5502"/>
    <w:rsid w:val="01A70018"/>
    <w:rsid w:val="01D34BA3"/>
    <w:rsid w:val="029445F2"/>
    <w:rsid w:val="029E779C"/>
    <w:rsid w:val="02FA0B84"/>
    <w:rsid w:val="03CB4A4C"/>
    <w:rsid w:val="04B97435"/>
    <w:rsid w:val="04E04898"/>
    <w:rsid w:val="05E544BE"/>
    <w:rsid w:val="066C3378"/>
    <w:rsid w:val="07112A57"/>
    <w:rsid w:val="07C116F8"/>
    <w:rsid w:val="08F028EF"/>
    <w:rsid w:val="09297578"/>
    <w:rsid w:val="096B2D3A"/>
    <w:rsid w:val="09E04C6C"/>
    <w:rsid w:val="0AE323FF"/>
    <w:rsid w:val="0C3B0C46"/>
    <w:rsid w:val="0D1F17CE"/>
    <w:rsid w:val="0D327AE7"/>
    <w:rsid w:val="0D5A6EB7"/>
    <w:rsid w:val="0EB46C3C"/>
    <w:rsid w:val="103E6332"/>
    <w:rsid w:val="10D41CB2"/>
    <w:rsid w:val="1168158D"/>
    <w:rsid w:val="123507ED"/>
    <w:rsid w:val="12FD1889"/>
    <w:rsid w:val="13140BDF"/>
    <w:rsid w:val="13D276EA"/>
    <w:rsid w:val="151B3B35"/>
    <w:rsid w:val="16F341B7"/>
    <w:rsid w:val="17FF54DB"/>
    <w:rsid w:val="181B570D"/>
    <w:rsid w:val="181D2815"/>
    <w:rsid w:val="18456CC8"/>
    <w:rsid w:val="18C03C9E"/>
    <w:rsid w:val="18F93E43"/>
    <w:rsid w:val="19475503"/>
    <w:rsid w:val="19F6321F"/>
    <w:rsid w:val="1A2C68EC"/>
    <w:rsid w:val="1A343A06"/>
    <w:rsid w:val="1AF34CD6"/>
    <w:rsid w:val="1B0E718D"/>
    <w:rsid w:val="1BB2050F"/>
    <w:rsid w:val="1BD4549F"/>
    <w:rsid w:val="1D813ABF"/>
    <w:rsid w:val="1DA02254"/>
    <w:rsid w:val="1E1E6350"/>
    <w:rsid w:val="1EF41CFF"/>
    <w:rsid w:val="201B6D5A"/>
    <w:rsid w:val="20357384"/>
    <w:rsid w:val="2139139E"/>
    <w:rsid w:val="21CF2D07"/>
    <w:rsid w:val="21E865E5"/>
    <w:rsid w:val="22087CC1"/>
    <w:rsid w:val="225108F4"/>
    <w:rsid w:val="22B0287F"/>
    <w:rsid w:val="2383508F"/>
    <w:rsid w:val="23A218F3"/>
    <w:rsid w:val="23E92F82"/>
    <w:rsid w:val="24061A11"/>
    <w:rsid w:val="244F5944"/>
    <w:rsid w:val="25002511"/>
    <w:rsid w:val="25C00628"/>
    <w:rsid w:val="26296170"/>
    <w:rsid w:val="264C62A2"/>
    <w:rsid w:val="26FC4A2E"/>
    <w:rsid w:val="27B8729E"/>
    <w:rsid w:val="27FA2CC8"/>
    <w:rsid w:val="281042E9"/>
    <w:rsid w:val="28160743"/>
    <w:rsid w:val="288E4B11"/>
    <w:rsid w:val="28A40933"/>
    <w:rsid w:val="28ED0190"/>
    <w:rsid w:val="29525730"/>
    <w:rsid w:val="2A0359A0"/>
    <w:rsid w:val="2AA52E19"/>
    <w:rsid w:val="2BB83C48"/>
    <w:rsid w:val="2BE95FF8"/>
    <w:rsid w:val="2C1C36B7"/>
    <w:rsid w:val="2CA913EE"/>
    <w:rsid w:val="2E167107"/>
    <w:rsid w:val="2E771D33"/>
    <w:rsid w:val="2E9426A8"/>
    <w:rsid w:val="315C165F"/>
    <w:rsid w:val="318D0CA8"/>
    <w:rsid w:val="31E80C17"/>
    <w:rsid w:val="31EE6F41"/>
    <w:rsid w:val="324D55ED"/>
    <w:rsid w:val="3422231E"/>
    <w:rsid w:val="34AF5121"/>
    <w:rsid w:val="35371392"/>
    <w:rsid w:val="35807540"/>
    <w:rsid w:val="360B1EB8"/>
    <w:rsid w:val="37EC001D"/>
    <w:rsid w:val="38596128"/>
    <w:rsid w:val="38783374"/>
    <w:rsid w:val="38A4186D"/>
    <w:rsid w:val="3979626D"/>
    <w:rsid w:val="398B0E26"/>
    <w:rsid w:val="39A256F2"/>
    <w:rsid w:val="39E63576"/>
    <w:rsid w:val="39FF6D25"/>
    <w:rsid w:val="3AB5133C"/>
    <w:rsid w:val="3ADF0D9F"/>
    <w:rsid w:val="3BDE0D90"/>
    <w:rsid w:val="3C4637B3"/>
    <w:rsid w:val="3C9C7676"/>
    <w:rsid w:val="3CA20CF8"/>
    <w:rsid w:val="3DC57EAA"/>
    <w:rsid w:val="3ED20A31"/>
    <w:rsid w:val="3EDB3D3F"/>
    <w:rsid w:val="3FCA0E41"/>
    <w:rsid w:val="406727E3"/>
    <w:rsid w:val="40FB3DA2"/>
    <w:rsid w:val="41223A7A"/>
    <w:rsid w:val="41581F07"/>
    <w:rsid w:val="42191101"/>
    <w:rsid w:val="423901A3"/>
    <w:rsid w:val="425A1BB1"/>
    <w:rsid w:val="42E91850"/>
    <w:rsid w:val="455F3FDD"/>
    <w:rsid w:val="45E64260"/>
    <w:rsid w:val="46742E73"/>
    <w:rsid w:val="47035A44"/>
    <w:rsid w:val="47E525F2"/>
    <w:rsid w:val="4828486A"/>
    <w:rsid w:val="4A0143EF"/>
    <w:rsid w:val="4AAF47DB"/>
    <w:rsid w:val="4B12668C"/>
    <w:rsid w:val="4C3F5DAD"/>
    <w:rsid w:val="4CB208EA"/>
    <w:rsid w:val="4CE54847"/>
    <w:rsid w:val="4D701316"/>
    <w:rsid w:val="4E5736DB"/>
    <w:rsid w:val="4E63056A"/>
    <w:rsid w:val="4E975A6D"/>
    <w:rsid w:val="4EA6705A"/>
    <w:rsid w:val="4F945273"/>
    <w:rsid w:val="50223505"/>
    <w:rsid w:val="511D252E"/>
    <w:rsid w:val="516650ED"/>
    <w:rsid w:val="51DF181B"/>
    <w:rsid w:val="52076A5D"/>
    <w:rsid w:val="525B1DCB"/>
    <w:rsid w:val="54647FE3"/>
    <w:rsid w:val="55B05D2C"/>
    <w:rsid w:val="56553E91"/>
    <w:rsid w:val="56CC78FE"/>
    <w:rsid w:val="57B22DBB"/>
    <w:rsid w:val="57DA2F94"/>
    <w:rsid w:val="587A0B13"/>
    <w:rsid w:val="590C4042"/>
    <w:rsid w:val="5A67747B"/>
    <w:rsid w:val="5AFF1B37"/>
    <w:rsid w:val="5B1C3717"/>
    <w:rsid w:val="5B3D37AB"/>
    <w:rsid w:val="5B3E446C"/>
    <w:rsid w:val="5BD16589"/>
    <w:rsid w:val="5BF21F23"/>
    <w:rsid w:val="5DDB5BC6"/>
    <w:rsid w:val="5E6E7DC6"/>
    <w:rsid w:val="5EC46D3F"/>
    <w:rsid w:val="5F855FE9"/>
    <w:rsid w:val="5FB572C3"/>
    <w:rsid w:val="60040C2D"/>
    <w:rsid w:val="621F72C5"/>
    <w:rsid w:val="6275290F"/>
    <w:rsid w:val="62B71093"/>
    <w:rsid w:val="62E05D18"/>
    <w:rsid w:val="63002AA4"/>
    <w:rsid w:val="63B835FC"/>
    <w:rsid w:val="642700A0"/>
    <w:rsid w:val="64EF2B19"/>
    <w:rsid w:val="65311173"/>
    <w:rsid w:val="66B60DBA"/>
    <w:rsid w:val="67EB4281"/>
    <w:rsid w:val="683C574E"/>
    <w:rsid w:val="69046EE7"/>
    <w:rsid w:val="69841F90"/>
    <w:rsid w:val="698C2161"/>
    <w:rsid w:val="69E51E0E"/>
    <w:rsid w:val="6A44338D"/>
    <w:rsid w:val="6B2E350A"/>
    <w:rsid w:val="6CC015ED"/>
    <w:rsid w:val="6EBF5658"/>
    <w:rsid w:val="6F185EA6"/>
    <w:rsid w:val="6F261C8B"/>
    <w:rsid w:val="6FF558C4"/>
    <w:rsid w:val="70522A97"/>
    <w:rsid w:val="706B1552"/>
    <w:rsid w:val="710E6AEF"/>
    <w:rsid w:val="71C45C1B"/>
    <w:rsid w:val="71E347D7"/>
    <w:rsid w:val="724E4BF5"/>
    <w:rsid w:val="73547B33"/>
    <w:rsid w:val="73573467"/>
    <w:rsid w:val="74370270"/>
    <w:rsid w:val="74EE3D24"/>
    <w:rsid w:val="74FE294C"/>
    <w:rsid w:val="760B21DB"/>
    <w:rsid w:val="76430857"/>
    <w:rsid w:val="76B5387A"/>
    <w:rsid w:val="7A51551F"/>
    <w:rsid w:val="7A8E4710"/>
    <w:rsid w:val="7B0257A4"/>
    <w:rsid w:val="7C7C7574"/>
    <w:rsid w:val="7D5D55F1"/>
    <w:rsid w:val="7DA3356B"/>
    <w:rsid w:val="7DB735AB"/>
    <w:rsid w:val="7E4C2A16"/>
    <w:rsid w:val="7FA06C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02D"/>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E8202D"/>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iPriority w:val="9"/>
    <w:semiHidden/>
    <w:unhideWhenUsed/>
    <w:qFormat/>
    <w:rsid w:val="00E8202D"/>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iPriority w:val="9"/>
    <w:semiHidden/>
    <w:unhideWhenUsed/>
    <w:qFormat/>
    <w:rsid w:val="00E8202D"/>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8202D"/>
    <w:rPr>
      <w:sz w:val="18"/>
      <w:szCs w:val="18"/>
    </w:rPr>
  </w:style>
  <w:style w:type="paragraph" w:styleId="a4">
    <w:name w:val="footer"/>
    <w:basedOn w:val="a"/>
    <w:link w:val="Char0"/>
    <w:uiPriority w:val="99"/>
    <w:unhideWhenUsed/>
    <w:qFormat/>
    <w:rsid w:val="00E8202D"/>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E8202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E8202D"/>
    <w:pPr>
      <w:spacing w:beforeAutospacing="1" w:afterAutospacing="1"/>
      <w:jc w:val="left"/>
    </w:pPr>
    <w:rPr>
      <w:rFonts w:cs="Times New Roman"/>
      <w:kern w:val="0"/>
      <w:sz w:val="24"/>
    </w:rPr>
  </w:style>
  <w:style w:type="paragraph" w:styleId="a7">
    <w:name w:val="Title"/>
    <w:basedOn w:val="a"/>
    <w:next w:val="a"/>
    <w:link w:val="Char2"/>
    <w:uiPriority w:val="10"/>
    <w:qFormat/>
    <w:rsid w:val="00E8202D"/>
    <w:pPr>
      <w:spacing w:before="240" w:after="60"/>
      <w:jc w:val="center"/>
      <w:outlineLvl w:val="0"/>
    </w:pPr>
    <w:rPr>
      <w:rFonts w:asciiTheme="majorHAnsi" w:eastAsia="宋体" w:hAnsiTheme="majorHAnsi" w:cstheme="majorBidi"/>
      <w:b/>
      <w:bCs/>
      <w:sz w:val="32"/>
      <w:szCs w:val="32"/>
    </w:rPr>
  </w:style>
  <w:style w:type="table" w:styleId="a8">
    <w:name w:val="Table Grid"/>
    <w:basedOn w:val="a1"/>
    <w:uiPriority w:val="59"/>
    <w:qFormat/>
    <w:rsid w:val="00E82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E8202D"/>
    <w:rPr>
      <w:b/>
    </w:rPr>
  </w:style>
  <w:style w:type="character" w:styleId="aa">
    <w:name w:val="Hyperlink"/>
    <w:basedOn w:val="a0"/>
    <w:uiPriority w:val="99"/>
    <w:semiHidden/>
    <w:unhideWhenUsed/>
    <w:qFormat/>
    <w:rsid w:val="00E8202D"/>
    <w:rPr>
      <w:color w:val="0000FF"/>
      <w:u w:val="single"/>
    </w:rPr>
  </w:style>
  <w:style w:type="character" w:customStyle="1" w:styleId="Char1">
    <w:name w:val="页眉 Char"/>
    <w:basedOn w:val="a0"/>
    <w:link w:val="a5"/>
    <w:uiPriority w:val="99"/>
    <w:semiHidden/>
    <w:qFormat/>
    <w:rsid w:val="00E8202D"/>
    <w:rPr>
      <w:sz w:val="18"/>
      <w:szCs w:val="18"/>
    </w:rPr>
  </w:style>
  <w:style w:type="character" w:customStyle="1" w:styleId="Char0">
    <w:name w:val="页脚 Char"/>
    <w:basedOn w:val="a0"/>
    <w:link w:val="a4"/>
    <w:uiPriority w:val="99"/>
    <w:qFormat/>
    <w:rsid w:val="00E8202D"/>
    <w:rPr>
      <w:sz w:val="18"/>
      <w:szCs w:val="18"/>
    </w:rPr>
  </w:style>
  <w:style w:type="character" w:customStyle="1" w:styleId="Char2">
    <w:name w:val="标题 Char"/>
    <w:basedOn w:val="a0"/>
    <w:link w:val="a7"/>
    <w:uiPriority w:val="10"/>
    <w:qFormat/>
    <w:rsid w:val="00E8202D"/>
    <w:rPr>
      <w:rFonts w:asciiTheme="majorHAnsi" w:eastAsia="宋体" w:hAnsiTheme="majorHAnsi" w:cstheme="majorBidi"/>
      <w:b/>
      <w:bCs/>
      <w:sz w:val="32"/>
      <w:szCs w:val="32"/>
    </w:rPr>
  </w:style>
  <w:style w:type="paragraph" w:styleId="ab">
    <w:name w:val="List Paragraph"/>
    <w:basedOn w:val="a"/>
    <w:uiPriority w:val="34"/>
    <w:qFormat/>
    <w:rsid w:val="00E8202D"/>
    <w:pPr>
      <w:ind w:firstLineChars="200" w:firstLine="420"/>
    </w:pPr>
  </w:style>
  <w:style w:type="character" w:customStyle="1" w:styleId="Char">
    <w:name w:val="批注框文本 Char"/>
    <w:basedOn w:val="a0"/>
    <w:link w:val="a3"/>
    <w:uiPriority w:val="99"/>
    <w:semiHidden/>
    <w:qFormat/>
    <w:rsid w:val="00E8202D"/>
    <w:rPr>
      <w:sz w:val="18"/>
      <w:szCs w:val="18"/>
    </w:rPr>
  </w:style>
</w:styles>
</file>

<file path=word/webSettings.xml><?xml version="1.0" encoding="utf-8"?>
<w:webSettings xmlns:r="http://schemas.openxmlformats.org/officeDocument/2006/relationships" xmlns:w="http://schemas.openxmlformats.org/wordprocessingml/2006/main">
  <w:divs>
    <w:div w:id="382556789">
      <w:bodyDiv w:val="1"/>
      <w:marLeft w:val="0"/>
      <w:marRight w:val="0"/>
      <w:marTop w:val="0"/>
      <w:marBottom w:val="0"/>
      <w:divBdr>
        <w:top w:val="none" w:sz="0" w:space="0" w:color="auto"/>
        <w:left w:val="none" w:sz="0" w:space="0" w:color="auto"/>
        <w:bottom w:val="none" w:sz="0" w:space="0" w:color="auto"/>
        <w:right w:val="none" w:sz="0" w:space="0" w:color="auto"/>
      </w:divBdr>
    </w:div>
    <w:div w:id="1293050159">
      <w:bodyDiv w:val="1"/>
      <w:marLeft w:val="0"/>
      <w:marRight w:val="0"/>
      <w:marTop w:val="0"/>
      <w:marBottom w:val="0"/>
      <w:divBdr>
        <w:top w:val="none" w:sz="0" w:space="0" w:color="auto"/>
        <w:left w:val="none" w:sz="0" w:space="0" w:color="auto"/>
        <w:bottom w:val="none" w:sz="0" w:space="0" w:color="auto"/>
        <w:right w:val="none" w:sz="0" w:space="0" w:color="auto"/>
      </w:divBdr>
      <w:divsChild>
        <w:div w:id="433014951">
          <w:marLeft w:val="0"/>
          <w:marRight w:val="0"/>
          <w:marTop w:val="0"/>
          <w:marBottom w:val="0"/>
          <w:divBdr>
            <w:top w:val="none" w:sz="0" w:space="0" w:color="auto"/>
            <w:left w:val="none" w:sz="0" w:space="0" w:color="auto"/>
            <w:bottom w:val="none" w:sz="0" w:space="0" w:color="auto"/>
            <w:right w:val="none" w:sz="0" w:space="0" w:color="auto"/>
          </w:divBdr>
        </w:div>
      </w:divsChild>
    </w:div>
    <w:div w:id="1619025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A1EAC-8C2C-49F8-8578-40475FEA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624</Words>
  <Characters>3559</Characters>
  <Application>Microsoft Office Word</Application>
  <DocSecurity>0</DocSecurity>
  <Lines>29</Lines>
  <Paragraphs>8</Paragraphs>
  <ScaleCrop>false</ScaleCrop>
  <Company>Hewlett-Packard Company</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李荣荣</cp:lastModifiedBy>
  <cp:revision>2</cp:revision>
  <dcterms:created xsi:type="dcterms:W3CDTF">2020-01-14T00:25:00Z</dcterms:created>
  <dcterms:modified xsi:type="dcterms:W3CDTF">2020-01-14T00:25:00Z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